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AC" w:rsidRPr="007955D5" w:rsidRDefault="007955D5" w:rsidP="007955D5">
      <w:pPr>
        <w:autoSpaceDE w:val="0"/>
        <w:autoSpaceDN w:val="0"/>
        <w:adjustRightInd w:val="0"/>
        <w:spacing w:after="0"/>
        <w:jc w:val="center"/>
        <w:rPr>
          <w:sz w:val="32"/>
          <w:szCs w:val="32"/>
        </w:rPr>
      </w:pPr>
      <w:r w:rsidRPr="007955D5">
        <w:rPr>
          <w:sz w:val="32"/>
          <w:szCs w:val="32"/>
        </w:rPr>
        <w:t xml:space="preserve">PENGARUH AIR LINDI TPA SAMPAH TERHADAP KUALITAS AIR TANAH DANGKAL DAN KESEHATAN MASYARAKAT DISEKITARNYA (Studi Pada Masyarakat Di Sekitar TPA </w:t>
      </w:r>
      <w:r>
        <w:rPr>
          <w:sz w:val="32"/>
          <w:szCs w:val="32"/>
        </w:rPr>
        <w:t xml:space="preserve">           </w:t>
      </w:r>
      <w:r w:rsidRPr="007955D5">
        <w:rPr>
          <w:sz w:val="32"/>
          <w:szCs w:val="32"/>
        </w:rPr>
        <w:t>Batu Layang Pontianak)</w:t>
      </w:r>
    </w:p>
    <w:p w:rsidR="006957E6" w:rsidRPr="006957E6" w:rsidRDefault="006957E6" w:rsidP="00FE70CA">
      <w:pPr>
        <w:autoSpaceDE w:val="0"/>
        <w:autoSpaceDN w:val="0"/>
        <w:adjustRightInd w:val="0"/>
        <w:spacing w:before="0" w:after="0"/>
        <w:jc w:val="center"/>
        <w:rPr>
          <w:b/>
          <w:bCs/>
          <w:sz w:val="32"/>
          <w:szCs w:val="32"/>
        </w:rPr>
      </w:pPr>
    </w:p>
    <w:p w:rsidR="007955D5" w:rsidRDefault="007955D5" w:rsidP="00FE70CA">
      <w:pPr>
        <w:autoSpaceDE w:val="0"/>
        <w:autoSpaceDN w:val="0"/>
        <w:adjustRightInd w:val="0"/>
        <w:spacing w:after="0"/>
        <w:jc w:val="center"/>
        <w:rPr>
          <w:bCs/>
          <w:sz w:val="28"/>
          <w:szCs w:val="28"/>
          <w:lang w:val="id-ID"/>
        </w:rPr>
      </w:pPr>
      <w:r w:rsidRPr="007955D5">
        <w:rPr>
          <w:bCs/>
          <w:sz w:val="28"/>
          <w:szCs w:val="28"/>
        </w:rPr>
        <w:t>Siti Mawaddah</w:t>
      </w:r>
    </w:p>
    <w:p w:rsidR="00FE70CA" w:rsidRPr="00FE70CA" w:rsidRDefault="00FE70CA" w:rsidP="00FE70CA">
      <w:pPr>
        <w:autoSpaceDE w:val="0"/>
        <w:autoSpaceDN w:val="0"/>
        <w:adjustRightInd w:val="0"/>
        <w:spacing w:before="0" w:after="0"/>
        <w:jc w:val="center"/>
        <w:rPr>
          <w:bCs/>
          <w:sz w:val="28"/>
          <w:szCs w:val="28"/>
          <w:lang w:val="id-ID"/>
        </w:rPr>
      </w:pPr>
    </w:p>
    <w:p w:rsidR="00FE70CA" w:rsidRDefault="00FE70CA" w:rsidP="00FE70CA">
      <w:pPr>
        <w:spacing w:before="0" w:after="0"/>
        <w:ind w:firstLine="360"/>
        <w:rPr>
          <w:lang w:val="id-ID"/>
        </w:rPr>
      </w:pPr>
      <w:r w:rsidRPr="00FE70CA">
        <w:t>Materi pencemar yang biasanya terbentuk di lingkungan TPA yaitu air lindi (</w:t>
      </w:r>
      <w:r w:rsidRPr="00FE70CA">
        <w:rPr>
          <w:i/>
          <w:iCs/>
        </w:rPr>
        <w:t>leachate</w:t>
      </w:r>
      <w:r w:rsidRPr="00FE70CA">
        <w:t>). Dari hasil uji pendahuluan terhadap air lindi dan sumber air tanah dangkal pada 3 titik milik masyarakat diketahui bahwa kandungan pH air lindi telah melebihi ambang batas yaitu 9,15mg/L dari standar normal 6-9mg/L, kekeruhan 164 NTU, dan total coliform &gt;110.000 MPN/100mL dari standar normal 1000 MPN/100mL. 100% masyarakat juga mengalami penyakit kulit seperti gatal-gatal, 70% mengalami gangguan pernafasan, dan 50% mengalami diare.</w:t>
      </w:r>
    </w:p>
    <w:p w:rsidR="00FE70CA" w:rsidRPr="00FE70CA" w:rsidRDefault="00FE70CA" w:rsidP="00FE70CA">
      <w:pPr>
        <w:spacing w:before="0" w:after="0"/>
        <w:ind w:firstLine="360"/>
        <w:rPr>
          <w:lang w:val="id-ID"/>
        </w:rPr>
      </w:pPr>
      <w:r w:rsidRPr="00FE70CA">
        <w:rPr>
          <w:bCs/>
        </w:rPr>
        <w:t>Penelitian ini bertujuan untuk</w:t>
      </w:r>
      <w:r w:rsidRPr="00FE70CA">
        <w:rPr>
          <w:b/>
          <w:bCs/>
        </w:rPr>
        <w:t xml:space="preserve"> </w:t>
      </w:r>
      <w:r w:rsidRPr="00FE70CA">
        <w:t xml:space="preserve">mengetahui </w:t>
      </w:r>
      <w:r w:rsidRPr="00FE70CA">
        <w:rPr>
          <w:color w:val="000000"/>
        </w:rPr>
        <w:t>pengaruh air lindi TPA sampah terhadap kualitas air dangkal dan kese</w:t>
      </w:r>
      <w:r>
        <w:rPr>
          <w:color w:val="000000"/>
        </w:rPr>
        <w:t>hatan masyarakat disekitar</w:t>
      </w:r>
      <w:r w:rsidRPr="00FE70CA">
        <w:rPr>
          <w:color w:val="000000"/>
        </w:rPr>
        <w:t xml:space="preserve"> TPA Batu Layang Pontianak</w:t>
      </w:r>
      <w:r>
        <w:rPr>
          <w:color w:val="000000"/>
          <w:lang w:val="id-ID"/>
        </w:rPr>
        <w:t>.</w:t>
      </w:r>
    </w:p>
    <w:p w:rsidR="00FE70CA" w:rsidRDefault="00FE70CA" w:rsidP="00FE70CA">
      <w:pPr>
        <w:spacing w:before="0" w:after="0"/>
        <w:ind w:firstLine="360"/>
        <w:rPr>
          <w:lang w:val="id-ID"/>
        </w:rPr>
      </w:pPr>
      <w:r w:rsidRPr="00FE70CA">
        <w:t>Penelitian</w:t>
      </w:r>
      <w:r>
        <w:t xml:space="preserve"> </w:t>
      </w:r>
      <w:r w:rsidRPr="00FE70CA">
        <w:t>dilakukan dengan metode deskriptif. Tehnik pengambilan sampel menggunakan tehnik sistematik random sampling dengan jumlah 46 sampel. Data diperoleh melalui wawancara. Kualitas air dibuktikan dengan uji laboratorium.</w:t>
      </w:r>
    </w:p>
    <w:p w:rsidR="00FE70CA" w:rsidRDefault="00FE70CA" w:rsidP="00FE70CA">
      <w:pPr>
        <w:spacing w:before="0" w:after="0"/>
        <w:ind w:firstLine="360"/>
        <w:rPr>
          <w:lang w:val="id-ID"/>
        </w:rPr>
      </w:pPr>
      <w:r w:rsidRPr="00FE70CA">
        <w:rPr>
          <w:bCs/>
        </w:rPr>
        <w:t xml:space="preserve">Hasil penelitian menunjukkan kualitas air sumur masyarakat TPA Batu Layang telah tercemar. Hal ini ditunjukkan dengan hasil penelitian yang menunjukkan kadar kekeruhan, BOD, dan total </w:t>
      </w:r>
      <w:r w:rsidRPr="00FE70CA">
        <w:rPr>
          <w:bCs/>
          <w:i/>
        </w:rPr>
        <w:t>coliform</w:t>
      </w:r>
      <w:r w:rsidRPr="00FE70CA">
        <w:rPr>
          <w:bCs/>
        </w:rPr>
        <w:t xml:space="preserve"> air sumur 100% melampaui ambang batas. Kebiasaan MCK masyarakat 100% menggunakan air sumur dan terjadinya penurunan kesehatan masyarakat sekitar</w:t>
      </w:r>
      <w:r>
        <w:rPr>
          <w:bCs/>
          <w:lang w:val="id-ID"/>
        </w:rPr>
        <w:t>,</w:t>
      </w:r>
      <w:r w:rsidRPr="00FE70CA">
        <w:rPr>
          <w:bCs/>
        </w:rPr>
        <w:t xml:space="preserve"> dimana 43,5% responden mengalami gejala sakit selama 3 bulan terakhir.</w:t>
      </w:r>
    </w:p>
    <w:p w:rsidR="00FE70CA" w:rsidRPr="00FE70CA" w:rsidRDefault="00FE70CA" w:rsidP="00FE70CA">
      <w:pPr>
        <w:spacing w:before="0" w:after="0"/>
        <w:ind w:firstLine="360"/>
      </w:pPr>
      <w:r w:rsidRPr="00FE70CA">
        <w:t>Disarankan agar masyarakat dapat melakukan pengolahan air sebelum digunakan dengan tawas/PAC. Perlunya sistem drainase lindi yang permanen, untuk mencegah peresapan air lindi masuk ke lingkungan sekitarnya. Perlunya kesadaran masyarakat untk menerapkan PHBS.</w:t>
      </w:r>
    </w:p>
    <w:p w:rsidR="00FE70CA" w:rsidRDefault="00FE70CA" w:rsidP="00FE70CA">
      <w:pPr>
        <w:spacing w:before="0" w:after="0"/>
        <w:ind w:firstLine="360"/>
        <w:rPr>
          <w:b/>
          <w:bCs/>
          <w:lang w:val="id-ID"/>
        </w:rPr>
      </w:pPr>
    </w:p>
    <w:p w:rsidR="00FE70CA" w:rsidRPr="00FE70CA" w:rsidRDefault="00FE70CA" w:rsidP="00FE70CA">
      <w:pPr>
        <w:spacing w:before="0" w:after="0"/>
        <w:ind w:firstLine="360"/>
        <w:rPr>
          <w:b/>
          <w:bCs/>
        </w:rPr>
      </w:pPr>
      <w:r w:rsidRPr="00FE70CA">
        <w:rPr>
          <w:b/>
          <w:bCs/>
        </w:rPr>
        <w:t>Kata Kunci: TPA, Lindi, MCK, dan Kesehatan Masyarakat Batu Layang</w:t>
      </w:r>
    </w:p>
    <w:p w:rsidR="00FE70CA" w:rsidRDefault="00FE70CA" w:rsidP="00FE70CA">
      <w:pPr>
        <w:spacing w:before="0"/>
        <w:rPr>
          <w:b/>
          <w:bCs/>
          <w:lang w:val="id-ID"/>
        </w:rPr>
      </w:pPr>
    </w:p>
    <w:p w:rsidR="00AA0DC3" w:rsidRDefault="00176419" w:rsidP="00FE70CA">
      <w:pPr>
        <w:spacing w:before="0"/>
        <w:sectPr w:rsidR="00AA0DC3" w:rsidSect="00AA0DC3">
          <w:pgSz w:w="11909" w:h="16834" w:code="9"/>
          <w:pgMar w:top="1440" w:right="1440" w:bottom="1440" w:left="1440" w:header="720" w:footer="720" w:gutter="0"/>
          <w:cols w:space="720"/>
          <w:docGrid w:linePitch="360"/>
        </w:sectPr>
      </w:pPr>
      <w:r w:rsidRPr="009C478E">
        <w:rPr>
          <w:b/>
          <w:sz w:val="18"/>
          <w:szCs w:val="18"/>
        </w:rPr>
        <w:t>Abstract.</w:t>
      </w:r>
      <w:r>
        <w:t>………………………………………………………………………………………………………………………………………………………………………………………………………………………………………………………………………………………………………………………………………………………………………………………………………………………………………………………………………………………………………………………………………………………………………………………………</w:t>
      </w:r>
    </w:p>
    <w:p w:rsidR="00A446AC" w:rsidRPr="00176419" w:rsidRDefault="00176419" w:rsidP="00A446AC">
      <w:pPr>
        <w:sectPr w:rsidR="00A446AC" w:rsidRPr="00176419" w:rsidSect="00AA0DC3">
          <w:type w:val="continuous"/>
          <w:pgSz w:w="11909" w:h="16834" w:code="9"/>
          <w:pgMar w:top="1440" w:right="1440" w:bottom="1440" w:left="1440" w:header="720" w:footer="720" w:gutter="0"/>
          <w:cols w:space="720"/>
          <w:docGrid w:linePitch="360"/>
        </w:sectPr>
      </w:pPr>
      <w:r>
        <w:lastRenderedPageBreak/>
        <w:t>………………………………………………………………………………………………………………………………………………………………………………………………………………………………</w:t>
      </w:r>
      <w:r w:rsidR="00683B5E">
        <w:t>…………………………………………………………………………………</w:t>
      </w:r>
    </w:p>
    <w:p w:rsidR="00AA0DC3" w:rsidRDefault="00683B5E" w:rsidP="00683B5E">
      <w:pPr>
        <w:pStyle w:val="Heading1"/>
        <w:sectPr w:rsidR="00AA0DC3" w:rsidSect="00AA0DC3">
          <w:type w:val="continuous"/>
          <w:pgSz w:w="12240" w:h="15840"/>
          <w:pgMar w:top="1440" w:right="1440" w:bottom="1440" w:left="1440" w:header="720" w:footer="720" w:gutter="0"/>
          <w:cols w:num="2" w:space="720"/>
          <w:docGrid w:linePitch="360"/>
        </w:sectPr>
      </w:pPr>
      <w:r>
        <w:lastRenderedPageBreak/>
        <w:t>PENDAHULUAN</w:t>
      </w:r>
    </w:p>
    <w:p w:rsidR="007B148D" w:rsidRDefault="00EF102E" w:rsidP="00C80B1D">
      <w:pPr>
        <w:spacing w:after="0"/>
      </w:pPr>
      <w:r w:rsidRPr="00EF102E">
        <w:lastRenderedPageBreak/>
        <w:t xml:space="preserve">Kesehatan masyarakat adalah ilmu dan seni mencegah penyakit, memperpanjang hidup, dan meningkatkan kesehatan, melalui usaha-usaha pengorganisasian masyarakat untuk menjamin setiap orang terpenuhi kebutuhan hidup yang layak dalam memelihara </w:t>
      </w:r>
      <w:r w:rsidR="007B148D">
        <w:t>kesehatannya</w:t>
      </w:r>
      <w:r w:rsidRPr="00EF102E">
        <w:t>.</w:t>
      </w:r>
      <w:r w:rsidR="005A74B7">
        <w:rPr>
          <w:vertAlign w:val="superscript"/>
        </w:rPr>
        <w:t xml:space="preserve"> </w:t>
      </w:r>
      <w:r w:rsidRPr="00EF102E">
        <w:t>Status kesehatan dipengaruhi oleh beberapa faktor sebagaimana yang dikemukakan oleh Blum (1974) yaitu faktor perilaku, lingkungan, pelayanan kesehatan, dan keturunan dimana faktor lingkungan merupakan faktor yang sangat besar pengaruhnya terhadap stat</w:t>
      </w:r>
      <w:r w:rsidR="007B148D">
        <w:t>us kesehatan</w:t>
      </w:r>
      <w:r w:rsidRPr="00EF102E">
        <w:t>.</w:t>
      </w:r>
      <w:r w:rsidR="007B148D" w:rsidRPr="007B148D">
        <w:rPr>
          <w:vertAlign w:val="superscript"/>
        </w:rPr>
        <w:t>1</w:t>
      </w:r>
    </w:p>
    <w:p w:rsidR="005A74B7" w:rsidRDefault="00EF102E" w:rsidP="00C80B1D">
      <w:pPr>
        <w:spacing w:after="0"/>
      </w:pPr>
      <w:r w:rsidRPr="00EF102E">
        <w:t>Salah satu bentuk pencemaran lingkungan adalah sampah. Sampah mempunyai potensi untuk menimbulkan pencemaran dan menimbulkan masalah bagi kesehatan jika tidak dikelola dengan benar.</w:t>
      </w:r>
      <w:r>
        <w:t xml:space="preserve"> </w:t>
      </w:r>
      <w:r w:rsidRPr="00EF102E">
        <w:t>Dalam pengelolaannya sa</w:t>
      </w:r>
      <w:r w:rsidR="007B148D">
        <w:t xml:space="preserve">mpah melalui tahap </w:t>
      </w:r>
      <w:r w:rsidR="005A74B7">
        <w:t>pengumpulan,pemindahan/pengangkutan,</w:t>
      </w:r>
      <w:r w:rsidRPr="00EF102E">
        <w:t>pen</w:t>
      </w:r>
      <w:r w:rsidR="007B148D">
        <w:t xml:space="preserve">golahan, dan pembuangan di TPA. </w:t>
      </w:r>
      <w:r w:rsidRPr="00EF102E">
        <w:t>TPA merupakan tempat dimana sampah diisolasi secara aman agar tidak menimbulkan gangguan terhadap lingkungan sekit</w:t>
      </w:r>
      <w:r w:rsidR="007B148D">
        <w:t>arnya</w:t>
      </w:r>
      <w:r w:rsidRPr="00EF102E">
        <w:t>.</w:t>
      </w:r>
      <w:r w:rsidR="007B148D" w:rsidRPr="007B148D">
        <w:rPr>
          <w:vertAlign w:val="superscript"/>
        </w:rPr>
        <w:t>2</w:t>
      </w:r>
    </w:p>
    <w:p w:rsidR="00EF102E" w:rsidRDefault="00EF102E" w:rsidP="00B76416">
      <w:pPr>
        <w:spacing w:after="0"/>
      </w:pPr>
      <w:r w:rsidRPr="00EF102E">
        <w:t>Materi pencemar yang biasanya terbentuk di lingkungan TPA yaitu air lindi (</w:t>
      </w:r>
      <w:r w:rsidRPr="00EF102E">
        <w:rPr>
          <w:i/>
          <w:iCs/>
        </w:rPr>
        <w:t>leachate</w:t>
      </w:r>
      <w:r w:rsidRPr="00EF102E">
        <w:t xml:space="preserve">). Air lindi adalah air yang berasal dari turunan sampah yang jika dalam pengelolaannya tidak baik akan menyebabkan ancaman serius bagi lingkungan. Zat pencemar dalam air lindi seperti kesadahan, mangan, nitrit, besi dan logam berat akan mengalir meninggalkan timbunan sampah yang menyebabkan pencemaran pada air permukaan maupun air tanah. Selain itu dapat pula mengakibatkan penyebaran penyakit serta mengakibatkan kerusakan </w:t>
      </w:r>
      <w:r w:rsidR="00127FCF">
        <w:t>lingkungan hidup</w:t>
      </w:r>
      <w:r w:rsidRPr="00EF102E">
        <w:t>.</w:t>
      </w:r>
      <w:r w:rsidR="00127FCF" w:rsidRPr="00127FCF">
        <w:rPr>
          <w:vertAlign w:val="superscript"/>
        </w:rPr>
        <w:t>3</w:t>
      </w:r>
    </w:p>
    <w:p w:rsidR="00DB7E9F" w:rsidRDefault="009C5192" w:rsidP="00B76416">
      <w:pPr>
        <w:spacing w:after="0"/>
        <w:rPr>
          <w:rFonts w:eastAsia="Times New Roman"/>
          <w:lang w:eastAsia="id-ID"/>
        </w:rPr>
      </w:pPr>
      <w:r w:rsidRPr="009C5192">
        <w:t>Air yang tercemar oleh organisme patogen seperti bakteri atau virus dapat secara langsung mempengaruhi kesehatan tubuh manusia. Penggunaan air yang tidak memenuhi syarat kesehatan berimplikasi terhadap keluhan penyakit bagi penggunanya. Dari data Puskesmas Batu Layang</w:t>
      </w:r>
      <w:r w:rsidRPr="009C5192">
        <w:rPr>
          <w:rFonts w:eastAsia="Times New Roman"/>
          <w:lang w:eastAsia="id-ID"/>
        </w:rPr>
        <w:t>, penyakit kulit seperti gatal-gatal hingga menjadi borok yang menganggu sudah menjadi pemandangan yang biasa</w:t>
      </w:r>
      <w:r>
        <w:rPr>
          <w:rFonts w:eastAsia="Times New Roman"/>
          <w:lang w:eastAsia="id-ID"/>
        </w:rPr>
        <w:t>.</w:t>
      </w:r>
      <w:r w:rsidRPr="009C5192">
        <w:rPr>
          <w:rFonts w:eastAsia="Times New Roman"/>
          <w:lang w:eastAsia="id-ID"/>
        </w:rPr>
        <w:t xml:space="preserve"> Ketika musim penghujan datang lahan sampah tergenang air sehingga menimbulkan nyamuk dan lalat yang menemukan </w:t>
      </w:r>
      <w:r>
        <w:rPr>
          <w:rFonts w:eastAsia="Times New Roman"/>
          <w:lang w:eastAsia="id-ID"/>
        </w:rPr>
        <w:t xml:space="preserve"> 80%</w:t>
      </w:r>
      <w:r w:rsidRPr="009C5192">
        <w:rPr>
          <w:rFonts w:eastAsia="Times New Roman"/>
          <w:lang w:eastAsia="id-ID"/>
        </w:rPr>
        <w:t xml:space="preserve"> dari 400 masyarakat sekitar mendapati keluhan sama yaitu penyakit kulit , DBD , Malaria dan diare yang lama-kelamaan akan menyebabkan produktifitas bekerja menurun dan memicu munculnya penyakit berbahaya lainnya.</w:t>
      </w:r>
    </w:p>
    <w:p w:rsidR="00B76416" w:rsidRDefault="009C5192" w:rsidP="00B76416">
      <w:pPr>
        <w:spacing w:after="0"/>
      </w:pPr>
      <w:r w:rsidRPr="009C5192">
        <w:t xml:space="preserve">Dari hasil survey pendahuluan terhadap 10 kepala keluarga yang tinggal di sekitar TPA 100% masyarakat pernah menderita penyakit kulit seperti </w:t>
      </w:r>
      <w:r w:rsidRPr="009C5192">
        <w:lastRenderedPageBreak/>
        <w:t>gatal-gatal, 70% pernah mengalami gangguan pernafasan, 50% pernah mengalami diare dan 30% diantaranya adalah anak-anak, dan 20% pernah menderita DBD. hasil uji pendahuluan terhadap air lindi dan sumber air tanah dangkal pada 3 titik milik masyarakat diketahui bahwa air lindi dan air tanah di ketiga titik  secara fisik terlihat berwarna dan berbau sangat menyengat. Dari hasil survey awal dengan pemeriksaan laboratorium diketahui kandungan besi (Fe) pada air lindi yaitu 4,49 mg/L masih berada pada ambang batas normal dengan standar 10mg/L. Selain itu hasil laboratorium juga menunjukkan pH air lindi telah melebihi ambang batas yaitu 9,15mg/L dari standar normal 6-9mg/L, kesadahan 1500mg/L, kekeruhan 164 NTU, dan total coliform &gt;110.000 MPN/100mL dari standar normal 1000 MPN/100mL.</w:t>
      </w:r>
    </w:p>
    <w:p w:rsidR="009C5192" w:rsidRPr="009C5192" w:rsidRDefault="009C5192" w:rsidP="009C5192">
      <w:pPr>
        <w:spacing w:after="0"/>
      </w:pPr>
      <w:r w:rsidRPr="00B76416">
        <w:t>Melihat kondisi TPA yang berpotensi membahayakan lingkungan serta kesehatan masyarakat di sekitarnya ditambah hasil survey yang menunjukkan kondisi air tanah dangkal milik penduduk yang telah mengalami penurunan kualitas baik secara fisik, kimia maupun biologi, maka peneliti tertarik untuk melakukan penelitian tentang “pengaruh air lindi TPA sampah terhadap kualitas air dangkal dan kesehatan masyarakat disekitarnya, studi kasus di TPA Batu Layang Pontianak ini”.</w:t>
      </w:r>
    </w:p>
    <w:p w:rsidR="00F01638" w:rsidRPr="005A74B7" w:rsidRDefault="003C5134" w:rsidP="00652987">
      <w:pPr>
        <w:pStyle w:val="Heading1"/>
        <w:rPr>
          <w:szCs w:val="32"/>
        </w:rPr>
      </w:pPr>
      <w:r w:rsidRPr="005A74B7">
        <w:rPr>
          <w:szCs w:val="32"/>
        </w:rPr>
        <w:t>metode penelitian</w:t>
      </w:r>
    </w:p>
    <w:p w:rsidR="00956368" w:rsidRDefault="003C5134" w:rsidP="00B76416">
      <w:pPr>
        <w:tabs>
          <w:tab w:val="left" w:pos="1260"/>
        </w:tabs>
        <w:spacing w:after="0"/>
      </w:pPr>
      <w:r w:rsidRPr="009C5192">
        <w:t xml:space="preserve">Penelitian ini dilakukan </w:t>
      </w:r>
      <w:r w:rsidR="00B76416">
        <w:t>pada masyarakat yang bermukim disekitar lingkungan TPA Batu Layang Pontianak Utara.</w:t>
      </w:r>
      <w:r w:rsidR="00956368">
        <w:t xml:space="preserve"> </w:t>
      </w:r>
      <w:r w:rsidR="00956368" w:rsidRPr="00956368">
        <w:t>Populasi penelitian sesuai ja</w:t>
      </w:r>
      <w:r w:rsidR="005A74B7">
        <w:t>rak yang ditentukan (&lt;100m , 100-200m , &gt;200m</w:t>
      </w:r>
      <w:r w:rsidR="00956368" w:rsidRPr="00956368">
        <w:t xml:space="preserve">) berjumlah 86 KK. Pemilihan sampel dilakukan dengan perhitungan rumus </w:t>
      </w:r>
      <w:r w:rsidR="00956368" w:rsidRPr="00956368">
        <w:rPr>
          <w:i/>
        </w:rPr>
        <w:t>lemeshow</w:t>
      </w:r>
      <w:r w:rsidR="00956368" w:rsidRPr="00956368">
        <w:t xml:space="preserve"> dan diperoleh 46 KK. Pemilihan sampel menggunakan teknik </w:t>
      </w:r>
      <w:r w:rsidR="00956368" w:rsidRPr="00956368">
        <w:rPr>
          <w:i/>
        </w:rPr>
        <w:t xml:space="preserve">systematic random sampling, </w:t>
      </w:r>
      <w:r w:rsidR="00956368" w:rsidRPr="00956368">
        <w:t>dengan metode kocok arisan (cabut undi).</w:t>
      </w:r>
    </w:p>
    <w:p w:rsidR="00E23FD5" w:rsidRDefault="00B76416" w:rsidP="00C80B1D">
      <w:pPr>
        <w:tabs>
          <w:tab w:val="left" w:pos="1260"/>
        </w:tabs>
        <w:spacing w:after="0"/>
      </w:pPr>
      <w:r w:rsidRPr="00B76416">
        <w:rPr>
          <w:rFonts w:eastAsiaTheme="minorHAnsi"/>
        </w:rPr>
        <w:t>Penelitian ini bersifat deskriptif</w:t>
      </w:r>
      <w:r w:rsidR="00C80B1D">
        <w:rPr>
          <w:rFonts w:eastAsiaTheme="minorHAnsi"/>
        </w:rPr>
        <w:t>.</w:t>
      </w:r>
      <w:r w:rsidR="00C80B1D">
        <w:t xml:space="preserve"> </w:t>
      </w:r>
      <w:r>
        <w:t xml:space="preserve">Pengumpulan data menggunakan kuesioner dan uji laboratorium. </w:t>
      </w:r>
      <w:r w:rsidRPr="00E91BD4">
        <w:t>Pemeriksaan kualitas air lindi dan air tanah dangkal</w:t>
      </w:r>
      <w:r w:rsidRPr="00B76416">
        <w:rPr>
          <w:rFonts w:eastAsiaTheme="minorHAnsi"/>
        </w:rPr>
        <w:t xml:space="preserve"> dilaksanakan di Laboratorium Biologi Fakultas MIPA Untan Pontianak dan Unit Laboratorium Kesehatan Soedarso Pontianak.</w:t>
      </w:r>
      <w:r>
        <w:rPr>
          <w:b/>
        </w:rPr>
        <w:t xml:space="preserve"> </w:t>
      </w:r>
      <w:r>
        <w:t>S</w:t>
      </w:r>
      <w:r w:rsidR="00334178" w:rsidRPr="00DD711C">
        <w:t>edangkan p</w:t>
      </w:r>
      <w:r>
        <w:t>engolahan data menggunakan SPSS dan analisis data secara univariat.</w:t>
      </w:r>
    </w:p>
    <w:p w:rsidR="00C80B1D" w:rsidRDefault="00C80B1D" w:rsidP="00C80B1D">
      <w:pPr>
        <w:tabs>
          <w:tab w:val="left" w:pos="1260"/>
        </w:tabs>
        <w:spacing w:after="0"/>
      </w:pPr>
    </w:p>
    <w:p w:rsidR="00C80B1D" w:rsidRDefault="00C80B1D" w:rsidP="00C80B1D">
      <w:pPr>
        <w:tabs>
          <w:tab w:val="left" w:pos="1260"/>
        </w:tabs>
        <w:spacing w:after="0"/>
      </w:pPr>
    </w:p>
    <w:p w:rsidR="00C80B1D" w:rsidRPr="00DD711C" w:rsidRDefault="00C80B1D" w:rsidP="00C80B1D">
      <w:pPr>
        <w:tabs>
          <w:tab w:val="left" w:pos="1260"/>
        </w:tabs>
        <w:spacing w:after="0"/>
      </w:pPr>
    </w:p>
    <w:p w:rsidR="00334178" w:rsidRPr="00FE70CA" w:rsidRDefault="00FE70CA" w:rsidP="008414F5">
      <w:pPr>
        <w:spacing w:before="0" w:after="0"/>
        <w:jc w:val="center"/>
        <w:rPr>
          <w:b/>
          <w:sz w:val="32"/>
          <w:szCs w:val="32"/>
          <w:lang w:val="id-ID"/>
        </w:rPr>
      </w:pPr>
      <w:r>
        <w:rPr>
          <w:b/>
          <w:sz w:val="32"/>
          <w:szCs w:val="32"/>
        </w:rPr>
        <w:lastRenderedPageBreak/>
        <w:t xml:space="preserve">HASIL </w:t>
      </w:r>
      <w:r>
        <w:rPr>
          <w:b/>
          <w:sz w:val="32"/>
          <w:szCs w:val="32"/>
          <w:lang w:val="id-ID"/>
        </w:rPr>
        <w:t>dan PEMBAHASAN</w:t>
      </w:r>
    </w:p>
    <w:p w:rsidR="00E9376A" w:rsidRDefault="00E9376A" w:rsidP="003C0D4C">
      <w:pPr>
        <w:rPr>
          <w:b/>
          <w:sz w:val="24"/>
          <w:szCs w:val="24"/>
        </w:rPr>
      </w:pPr>
      <w:r w:rsidRPr="00E9376A">
        <w:rPr>
          <w:b/>
          <w:sz w:val="24"/>
          <w:szCs w:val="24"/>
        </w:rPr>
        <w:t>Gambaran Umum</w:t>
      </w:r>
      <w:r w:rsidR="003B68CC">
        <w:rPr>
          <w:b/>
          <w:sz w:val="24"/>
          <w:szCs w:val="24"/>
        </w:rPr>
        <w:t xml:space="preserve"> Lokasi Penelitian</w:t>
      </w:r>
    </w:p>
    <w:p w:rsidR="00C80B1D" w:rsidRDefault="00B76416" w:rsidP="00DA26D9">
      <w:pPr>
        <w:pStyle w:val="NormalWeb"/>
        <w:spacing w:before="0" w:beforeAutospacing="0" w:after="0" w:afterAutospacing="0"/>
        <w:jc w:val="both"/>
        <w:rPr>
          <w:sz w:val="20"/>
          <w:szCs w:val="20"/>
          <w:lang w:val="en-US"/>
        </w:rPr>
      </w:pPr>
      <w:r w:rsidRPr="00B76416">
        <w:rPr>
          <w:color w:val="000000" w:themeColor="text1"/>
          <w:sz w:val="20"/>
          <w:szCs w:val="20"/>
        </w:rPr>
        <w:t>TPA Batu Layang terletak di Kelurahan Batu Layang Kecamatan Pontianak Utara Kota Pontianak. Dengan luas wilayah Kelurahan mencapai 920 Km</w:t>
      </w:r>
      <w:r w:rsidRPr="00B76416">
        <w:rPr>
          <w:color w:val="000000" w:themeColor="text1"/>
          <w:sz w:val="20"/>
          <w:szCs w:val="20"/>
          <w:vertAlign w:val="superscript"/>
        </w:rPr>
        <w:t xml:space="preserve">2  </w:t>
      </w:r>
      <w:r w:rsidRPr="00B76416">
        <w:rPr>
          <w:color w:val="000000" w:themeColor="text1"/>
          <w:sz w:val="20"/>
          <w:szCs w:val="20"/>
        </w:rPr>
        <w:t xml:space="preserve">dan jumlah penduduk sebanyak 24.345 jiwa yang terdiri dari 4.766 KK. </w:t>
      </w:r>
      <w:r w:rsidR="00956368" w:rsidRPr="00B76416">
        <w:rPr>
          <w:color w:val="000000" w:themeColor="text1"/>
          <w:sz w:val="20"/>
          <w:szCs w:val="20"/>
        </w:rPr>
        <w:t>Adapun batas wilayah TPA yaitu sebelah utara</w:t>
      </w:r>
      <w:r w:rsidR="00956368" w:rsidRPr="00B76416">
        <w:rPr>
          <w:color w:val="000000" w:themeColor="text1"/>
          <w:sz w:val="20"/>
          <w:szCs w:val="20"/>
          <w:lang w:val="en-US"/>
        </w:rPr>
        <w:t xml:space="preserve"> berbatasan dengan </w:t>
      </w:r>
      <w:r w:rsidR="00956368">
        <w:rPr>
          <w:color w:val="000000" w:themeColor="text1"/>
          <w:sz w:val="20"/>
          <w:szCs w:val="20"/>
        </w:rPr>
        <w:t>kelurahan siantan hilir</w:t>
      </w:r>
      <w:r w:rsidR="00956368">
        <w:rPr>
          <w:color w:val="000000" w:themeColor="text1"/>
          <w:sz w:val="20"/>
          <w:szCs w:val="20"/>
          <w:lang w:val="en-US"/>
        </w:rPr>
        <w:t xml:space="preserve">, </w:t>
      </w:r>
      <w:r w:rsidR="00956368">
        <w:rPr>
          <w:color w:val="000000" w:themeColor="text1"/>
          <w:sz w:val="20"/>
          <w:szCs w:val="20"/>
        </w:rPr>
        <w:t>sebelah</w:t>
      </w:r>
      <w:r w:rsidR="00956368">
        <w:rPr>
          <w:color w:val="000000" w:themeColor="text1"/>
          <w:sz w:val="20"/>
          <w:szCs w:val="20"/>
          <w:lang w:val="en-US"/>
        </w:rPr>
        <w:t xml:space="preserve"> </w:t>
      </w:r>
      <w:r w:rsidR="00956368" w:rsidRPr="00B76416">
        <w:rPr>
          <w:color w:val="000000" w:themeColor="text1"/>
          <w:sz w:val="20"/>
          <w:szCs w:val="20"/>
        </w:rPr>
        <w:t>selatan</w:t>
      </w:r>
      <w:r w:rsidR="00956368" w:rsidRPr="00B76416">
        <w:rPr>
          <w:color w:val="000000" w:themeColor="text1"/>
          <w:sz w:val="20"/>
          <w:szCs w:val="20"/>
          <w:lang w:val="en-US"/>
        </w:rPr>
        <w:t xml:space="preserve"> berbatasan dengan </w:t>
      </w:r>
      <w:r w:rsidR="00956368" w:rsidRPr="00B76416">
        <w:rPr>
          <w:color w:val="000000" w:themeColor="text1"/>
          <w:sz w:val="20"/>
          <w:szCs w:val="20"/>
        </w:rPr>
        <w:t>sungai</w:t>
      </w:r>
      <w:r w:rsidR="00956368" w:rsidRPr="00B76416">
        <w:rPr>
          <w:color w:val="000000" w:themeColor="text1"/>
          <w:sz w:val="20"/>
          <w:szCs w:val="20"/>
          <w:lang w:val="en-US"/>
        </w:rPr>
        <w:t xml:space="preserve"> </w:t>
      </w:r>
      <w:r w:rsidR="00956368" w:rsidRPr="00B76416">
        <w:rPr>
          <w:color w:val="000000" w:themeColor="text1"/>
          <w:sz w:val="20"/>
          <w:szCs w:val="20"/>
        </w:rPr>
        <w:t>kapuas</w:t>
      </w:r>
      <w:r w:rsidR="00956368" w:rsidRPr="00B76416">
        <w:rPr>
          <w:color w:val="000000" w:themeColor="text1"/>
          <w:sz w:val="20"/>
          <w:szCs w:val="20"/>
          <w:lang w:val="en-US"/>
        </w:rPr>
        <w:t xml:space="preserve">, </w:t>
      </w:r>
      <w:r w:rsidR="00956368" w:rsidRPr="00B76416">
        <w:rPr>
          <w:color w:val="000000" w:themeColor="text1"/>
          <w:sz w:val="20"/>
          <w:szCs w:val="20"/>
        </w:rPr>
        <w:t>sebelah barat</w:t>
      </w:r>
      <w:r w:rsidR="00956368" w:rsidRPr="00B76416">
        <w:rPr>
          <w:color w:val="000000" w:themeColor="text1"/>
          <w:sz w:val="20"/>
          <w:szCs w:val="20"/>
          <w:lang w:val="en-US"/>
        </w:rPr>
        <w:t xml:space="preserve"> berbatasan dengan  </w:t>
      </w:r>
      <w:r w:rsidR="00956368" w:rsidRPr="00B76416">
        <w:rPr>
          <w:color w:val="000000" w:themeColor="text1"/>
          <w:sz w:val="20"/>
          <w:szCs w:val="20"/>
        </w:rPr>
        <w:t>Desa Wajok Hulu Kab. Pontianak</w:t>
      </w:r>
      <w:r w:rsidR="00AD37B9">
        <w:rPr>
          <w:sz w:val="20"/>
          <w:szCs w:val="20"/>
          <w:lang w:val="en-US"/>
        </w:rPr>
        <w:t>.</w:t>
      </w:r>
      <w:r w:rsidR="00127FCF" w:rsidRPr="00127FCF">
        <w:rPr>
          <w:sz w:val="20"/>
          <w:szCs w:val="20"/>
          <w:vertAlign w:val="superscript"/>
          <w:lang w:val="en-US"/>
        </w:rPr>
        <w:t>4</w:t>
      </w:r>
    </w:p>
    <w:p w:rsidR="00DA26D9" w:rsidRDefault="00956368" w:rsidP="00DA26D9">
      <w:pPr>
        <w:pStyle w:val="NormalWeb"/>
        <w:spacing w:before="120" w:beforeAutospacing="0" w:after="0" w:afterAutospacing="0"/>
        <w:jc w:val="both"/>
        <w:rPr>
          <w:sz w:val="20"/>
          <w:szCs w:val="20"/>
          <w:lang w:val="en-US"/>
        </w:rPr>
      </w:pPr>
      <w:r w:rsidRPr="00956368">
        <w:rPr>
          <w:color w:val="000000" w:themeColor="text1"/>
          <w:sz w:val="20"/>
          <w:szCs w:val="20"/>
        </w:rPr>
        <w:t>Tempat Pembuangan Akhir (TPA) Batu Layang merupakan lokasi pembuangan sampah akhir satu-satunya di Kabupaten Kota Pontianak. Seluruh sampah yang timbul di Kota Pontianak akan diangkut oleh truk-truk sampah lalu dibuang dan ditimbun di TPA Batu Layang ini.</w:t>
      </w:r>
      <w:r w:rsidRPr="00956368">
        <w:rPr>
          <w:color w:val="000000" w:themeColor="text1"/>
          <w:sz w:val="20"/>
          <w:szCs w:val="20"/>
          <w:lang w:val="en-US"/>
        </w:rPr>
        <w:t xml:space="preserve"> </w:t>
      </w:r>
    </w:p>
    <w:p w:rsidR="00AD37B9" w:rsidRPr="00127FCF" w:rsidRDefault="00956368" w:rsidP="00DA26D9">
      <w:pPr>
        <w:pStyle w:val="NormalWeb"/>
        <w:spacing w:before="120" w:beforeAutospacing="0" w:after="0" w:afterAutospacing="0"/>
        <w:jc w:val="both"/>
        <w:rPr>
          <w:sz w:val="20"/>
          <w:szCs w:val="20"/>
          <w:lang w:val="en-US"/>
        </w:rPr>
      </w:pPr>
      <w:r w:rsidRPr="00956368">
        <w:rPr>
          <w:color w:val="000000" w:themeColor="text1"/>
          <w:sz w:val="20"/>
          <w:szCs w:val="20"/>
        </w:rPr>
        <w:t>Kondisi tanah TPA merupakan lahan gambut dengan kedalaman 7-8 meter kebawah tanah. Jarak tempuh dari pusat kota adalah 15 km, dengan waktu 30 menit (normal) dan jarak dari badan air penerima (Sungai Kapuas) ke TPA sekitar ±3 km. Kondisi  TPA relatif datar dan jarak TPA dengan pemukiman penduduk ±2 km</w:t>
      </w:r>
      <w:r>
        <w:rPr>
          <w:color w:val="000000" w:themeColor="text1"/>
          <w:sz w:val="20"/>
          <w:szCs w:val="20"/>
          <w:lang w:val="en-US"/>
        </w:rPr>
        <w:t xml:space="preserve">. </w:t>
      </w:r>
      <w:r w:rsidRPr="00956368">
        <w:rPr>
          <w:color w:val="000000" w:themeColor="text1"/>
          <w:sz w:val="20"/>
          <w:szCs w:val="20"/>
          <w:lang w:val="sv-SE"/>
        </w:rPr>
        <w:t>Di  sekitar TPA  terdapat masyarakat  yang  secara  garis  besar  dapat  dikelompokkan menjadi  dua,  yaitu  masyarakat  Kelurahan  Batulayang  dan  Kelurahan  Siantan Hilir.  Kelurahan  Batulayang  (RT  05/04)  memiliki  556  penduduk  dimana  20% penduduknya bekerja  sebagai pemulung dan Kelurahan Siantan Hilir  (RT 05/15) memiliki  52  penduduk  di</w:t>
      </w:r>
      <w:r w:rsidR="00127FCF">
        <w:rPr>
          <w:color w:val="000000" w:themeColor="text1"/>
          <w:sz w:val="20"/>
          <w:szCs w:val="20"/>
          <w:lang w:val="sv-SE"/>
        </w:rPr>
        <w:t>mana  80%-nya  adalah  pemulung</w:t>
      </w:r>
      <w:r w:rsidRPr="00956368">
        <w:rPr>
          <w:color w:val="000000" w:themeColor="text1"/>
          <w:sz w:val="20"/>
          <w:szCs w:val="20"/>
        </w:rPr>
        <w:t>.</w:t>
      </w:r>
      <w:r w:rsidR="00127FCF" w:rsidRPr="00127FCF">
        <w:rPr>
          <w:color w:val="000000" w:themeColor="text1"/>
          <w:sz w:val="20"/>
          <w:szCs w:val="20"/>
          <w:vertAlign w:val="superscript"/>
          <w:lang w:val="en-US"/>
        </w:rPr>
        <w:t>5</w:t>
      </w:r>
    </w:p>
    <w:p w:rsidR="009F66EA" w:rsidRPr="009F66EA" w:rsidRDefault="009F66EA" w:rsidP="009F66EA">
      <w:pPr>
        <w:pStyle w:val="NormalWeb"/>
        <w:spacing w:before="0" w:beforeAutospacing="0" w:after="0" w:afterAutospacing="0"/>
        <w:jc w:val="both"/>
        <w:rPr>
          <w:sz w:val="20"/>
          <w:szCs w:val="20"/>
          <w:lang w:val="en-US"/>
        </w:rPr>
      </w:pPr>
    </w:p>
    <w:p w:rsidR="003B68CC" w:rsidRPr="00EC341B" w:rsidRDefault="00EC341B" w:rsidP="009F66EA">
      <w:pPr>
        <w:widowControl w:val="0"/>
        <w:spacing w:before="0" w:after="200"/>
        <w:ind w:right="18"/>
        <w:jc w:val="center"/>
        <w:rPr>
          <w:b/>
          <w:kern w:val="24"/>
          <w:sz w:val="18"/>
          <w:szCs w:val="18"/>
          <w:lang w:val="sv-SE"/>
        </w:rPr>
      </w:pPr>
      <w:r>
        <w:rPr>
          <w:b/>
          <w:kern w:val="24"/>
          <w:sz w:val="18"/>
          <w:szCs w:val="18"/>
          <w:lang w:val="sv-SE"/>
        </w:rPr>
        <w:t xml:space="preserve">Tabel 1. </w:t>
      </w:r>
      <w:r w:rsidRPr="00EC341B">
        <w:rPr>
          <w:b/>
          <w:kern w:val="24"/>
          <w:sz w:val="18"/>
          <w:szCs w:val="18"/>
          <w:lang w:val="sv-SE"/>
        </w:rPr>
        <w:t>Karakteristik Responden</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714"/>
        <w:gridCol w:w="1469"/>
        <w:gridCol w:w="1353"/>
      </w:tblGrid>
      <w:tr w:rsidR="00EC341B" w:rsidRPr="005071E9" w:rsidTr="000947D5">
        <w:tc>
          <w:tcPr>
            <w:tcW w:w="1714" w:type="dxa"/>
            <w:shd w:val="clear" w:color="auto" w:fill="auto"/>
            <w:vAlign w:val="center"/>
          </w:tcPr>
          <w:p w:rsidR="00EC341B" w:rsidRPr="005071E9" w:rsidRDefault="00EC341B" w:rsidP="00AB5AA5">
            <w:pPr>
              <w:widowControl w:val="0"/>
              <w:spacing w:before="0" w:after="0"/>
              <w:ind w:right="17"/>
              <w:jc w:val="center"/>
              <w:rPr>
                <w:b/>
                <w:color w:val="000000" w:themeColor="text1"/>
                <w:kern w:val="24"/>
                <w:sz w:val="18"/>
                <w:szCs w:val="18"/>
                <w:lang w:val="sv-SE"/>
              </w:rPr>
            </w:pPr>
            <w:r w:rsidRPr="005071E9">
              <w:rPr>
                <w:b/>
                <w:color w:val="000000" w:themeColor="text1"/>
                <w:kern w:val="24"/>
                <w:sz w:val="18"/>
                <w:szCs w:val="18"/>
                <w:lang w:val="sv-SE"/>
              </w:rPr>
              <w:t>Variabel</w:t>
            </w:r>
          </w:p>
        </w:tc>
        <w:tc>
          <w:tcPr>
            <w:tcW w:w="1469" w:type="dxa"/>
            <w:shd w:val="clear" w:color="auto" w:fill="auto"/>
            <w:vAlign w:val="center"/>
          </w:tcPr>
          <w:p w:rsidR="00EC341B" w:rsidRPr="005071E9" w:rsidRDefault="00EC341B" w:rsidP="00AB5AA5">
            <w:pPr>
              <w:widowControl w:val="0"/>
              <w:spacing w:before="0" w:after="0"/>
              <w:ind w:right="17"/>
              <w:jc w:val="center"/>
              <w:rPr>
                <w:b/>
                <w:color w:val="000000" w:themeColor="text1"/>
                <w:kern w:val="24"/>
                <w:sz w:val="18"/>
                <w:szCs w:val="18"/>
                <w:lang w:val="sv-SE"/>
              </w:rPr>
            </w:pPr>
            <w:r w:rsidRPr="005071E9">
              <w:rPr>
                <w:b/>
                <w:color w:val="000000" w:themeColor="text1"/>
                <w:kern w:val="24"/>
                <w:sz w:val="18"/>
                <w:szCs w:val="18"/>
                <w:lang w:val="sv-SE"/>
              </w:rPr>
              <w:t>F</w:t>
            </w:r>
          </w:p>
        </w:tc>
        <w:tc>
          <w:tcPr>
            <w:tcW w:w="1353" w:type="dxa"/>
            <w:shd w:val="clear" w:color="auto" w:fill="auto"/>
            <w:vAlign w:val="center"/>
          </w:tcPr>
          <w:p w:rsidR="00EC341B" w:rsidRPr="005071E9" w:rsidRDefault="00EC341B" w:rsidP="00AB5AA5">
            <w:pPr>
              <w:widowControl w:val="0"/>
              <w:spacing w:before="0" w:after="0"/>
              <w:ind w:right="17"/>
              <w:jc w:val="center"/>
              <w:rPr>
                <w:b/>
                <w:color w:val="000000" w:themeColor="text1"/>
                <w:kern w:val="24"/>
                <w:sz w:val="18"/>
                <w:szCs w:val="18"/>
                <w:lang w:val="sv-SE"/>
              </w:rPr>
            </w:pPr>
            <w:r w:rsidRPr="005071E9">
              <w:rPr>
                <w:b/>
                <w:color w:val="000000" w:themeColor="text1"/>
                <w:kern w:val="24"/>
                <w:sz w:val="18"/>
                <w:szCs w:val="18"/>
                <w:lang w:val="sv-SE"/>
              </w:rPr>
              <w:t>%</w:t>
            </w:r>
          </w:p>
        </w:tc>
      </w:tr>
      <w:tr w:rsidR="00EC341B" w:rsidRPr="005071E9" w:rsidTr="000947D5">
        <w:tc>
          <w:tcPr>
            <w:tcW w:w="1714" w:type="dxa"/>
            <w:shd w:val="clear" w:color="auto" w:fill="auto"/>
            <w:vAlign w:val="center"/>
          </w:tcPr>
          <w:p w:rsidR="005071E9" w:rsidRDefault="004C0E8A" w:rsidP="005071E9">
            <w:pPr>
              <w:widowControl w:val="0"/>
              <w:spacing w:before="0" w:after="0"/>
              <w:ind w:right="17"/>
              <w:jc w:val="center"/>
              <w:rPr>
                <w:b/>
                <w:color w:val="000000" w:themeColor="text1"/>
                <w:kern w:val="24"/>
                <w:sz w:val="18"/>
                <w:szCs w:val="18"/>
                <w:lang w:val="sv-SE"/>
              </w:rPr>
            </w:pPr>
            <w:r w:rsidRPr="004C0E8A">
              <w:rPr>
                <w:rFonts w:eastAsia="Times New Roman"/>
                <w:bCs/>
                <w:noProof/>
                <w:color w:val="000000" w:themeColor="text1"/>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4.95pt;margin-top:4.05pt;width:226.8pt;height:0;z-index:251659264;mso-position-horizontal-relative:text;mso-position-vertical-relative:text" o:connectortype="straight"/>
              </w:pict>
            </w:r>
          </w:p>
          <w:p w:rsidR="00176419" w:rsidRPr="005071E9" w:rsidRDefault="00AD37B9" w:rsidP="005071E9">
            <w:pPr>
              <w:widowControl w:val="0"/>
              <w:spacing w:before="0" w:after="0"/>
              <w:ind w:right="17"/>
              <w:jc w:val="center"/>
              <w:rPr>
                <w:b/>
                <w:color w:val="000000" w:themeColor="text1"/>
                <w:kern w:val="24"/>
                <w:sz w:val="18"/>
                <w:szCs w:val="18"/>
                <w:lang w:val="sv-SE"/>
              </w:rPr>
            </w:pPr>
            <w:r>
              <w:rPr>
                <w:b/>
                <w:color w:val="000000" w:themeColor="text1"/>
                <w:kern w:val="24"/>
                <w:sz w:val="18"/>
                <w:szCs w:val="18"/>
                <w:lang w:val="sv-SE"/>
              </w:rPr>
              <w:t>Tingkat Pendidikan</w:t>
            </w:r>
          </w:p>
        </w:tc>
        <w:tc>
          <w:tcPr>
            <w:tcW w:w="1469" w:type="dxa"/>
            <w:shd w:val="clear" w:color="auto" w:fill="auto"/>
            <w:vAlign w:val="center"/>
          </w:tcPr>
          <w:p w:rsidR="00EC341B" w:rsidRPr="005071E9" w:rsidRDefault="00EC341B" w:rsidP="00AB5AA5">
            <w:pPr>
              <w:widowControl w:val="0"/>
              <w:spacing w:before="0" w:after="0"/>
              <w:ind w:right="17"/>
              <w:jc w:val="center"/>
              <w:rPr>
                <w:b/>
                <w:color w:val="000000" w:themeColor="text1"/>
                <w:kern w:val="24"/>
                <w:sz w:val="18"/>
                <w:szCs w:val="18"/>
                <w:lang w:val="sv-SE"/>
              </w:rPr>
            </w:pPr>
          </w:p>
        </w:tc>
        <w:tc>
          <w:tcPr>
            <w:tcW w:w="1353" w:type="dxa"/>
            <w:shd w:val="clear" w:color="auto" w:fill="auto"/>
            <w:vAlign w:val="center"/>
          </w:tcPr>
          <w:p w:rsidR="00EC341B" w:rsidRPr="005071E9" w:rsidRDefault="00EC341B" w:rsidP="00AB5AA5">
            <w:pPr>
              <w:widowControl w:val="0"/>
              <w:spacing w:before="0" w:after="0"/>
              <w:ind w:right="17"/>
              <w:jc w:val="center"/>
              <w:rPr>
                <w:b/>
                <w:color w:val="000000" w:themeColor="text1"/>
                <w:kern w:val="24"/>
                <w:sz w:val="18"/>
                <w:szCs w:val="18"/>
                <w:lang w:val="sv-SE"/>
              </w:rPr>
            </w:pPr>
          </w:p>
        </w:tc>
      </w:tr>
      <w:tr w:rsidR="00EC341B" w:rsidRPr="005071E9" w:rsidTr="000947D5">
        <w:tc>
          <w:tcPr>
            <w:tcW w:w="1714" w:type="dxa"/>
            <w:shd w:val="clear" w:color="auto" w:fill="auto"/>
            <w:vAlign w:val="center"/>
          </w:tcPr>
          <w:p w:rsidR="00EC341B" w:rsidRPr="00AD37B9" w:rsidRDefault="00EC341B" w:rsidP="00AB5AA5">
            <w:pPr>
              <w:widowControl w:val="0"/>
              <w:spacing w:before="0" w:after="0"/>
              <w:ind w:right="17"/>
              <w:jc w:val="center"/>
              <w:rPr>
                <w:color w:val="000000" w:themeColor="text1"/>
                <w:kern w:val="24"/>
                <w:sz w:val="18"/>
                <w:szCs w:val="18"/>
              </w:rPr>
            </w:pPr>
            <w:r w:rsidRPr="005071E9">
              <w:rPr>
                <w:rFonts w:eastAsia="Times New Roman"/>
                <w:bCs/>
                <w:noProof/>
                <w:color w:val="000000" w:themeColor="text1"/>
                <w:sz w:val="18"/>
                <w:szCs w:val="18"/>
                <w:lang w:val="id-ID"/>
              </w:rPr>
              <w:t>Re</w:t>
            </w:r>
            <w:r w:rsidR="00AD37B9">
              <w:rPr>
                <w:rFonts w:eastAsia="Times New Roman"/>
                <w:bCs/>
                <w:noProof/>
                <w:color w:val="000000" w:themeColor="text1"/>
                <w:sz w:val="18"/>
                <w:szCs w:val="18"/>
              </w:rPr>
              <w:t>ndah (&lt;SMP)</w:t>
            </w:r>
          </w:p>
        </w:tc>
        <w:tc>
          <w:tcPr>
            <w:tcW w:w="1469" w:type="dxa"/>
            <w:shd w:val="clear" w:color="auto" w:fill="auto"/>
            <w:vAlign w:val="center"/>
          </w:tcPr>
          <w:p w:rsidR="00EC341B" w:rsidRPr="00AD37B9" w:rsidRDefault="00AD37B9" w:rsidP="00AB5AA5">
            <w:pPr>
              <w:widowControl w:val="0"/>
              <w:tabs>
                <w:tab w:val="left" w:pos="0"/>
                <w:tab w:val="center" w:pos="34"/>
              </w:tabs>
              <w:spacing w:before="0" w:after="0"/>
              <w:ind w:right="17"/>
              <w:jc w:val="center"/>
              <w:rPr>
                <w:color w:val="000000" w:themeColor="text1"/>
                <w:kern w:val="24"/>
                <w:sz w:val="18"/>
                <w:szCs w:val="18"/>
              </w:rPr>
            </w:pPr>
            <w:r>
              <w:rPr>
                <w:color w:val="000000" w:themeColor="text1"/>
                <w:kern w:val="24"/>
                <w:sz w:val="18"/>
                <w:szCs w:val="18"/>
              </w:rPr>
              <w:t>28</w:t>
            </w:r>
          </w:p>
        </w:tc>
        <w:tc>
          <w:tcPr>
            <w:tcW w:w="1353" w:type="dxa"/>
            <w:shd w:val="clear" w:color="auto" w:fill="auto"/>
            <w:vAlign w:val="center"/>
          </w:tcPr>
          <w:p w:rsidR="00EC341B" w:rsidRPr="00AD37B9" w:rsidRDefault="00AD37B9" w:rsidP="00AB5AA5">
            <w:pPr>
              <w:widowControl w:val="0"/>
              <w:spacing w:before="0" w:after="0"/>
              <w:ind w:right="17"/>
              <w:jc w:val="center"/>
              <w:rPr>
                <w:color w:val="000000" w:themeColor="text1"/>
                <w:kern w:val="24"/>
                <w:sz w:val="18"/>
                <w:szCs w:val="18"/>
              </w:rPr>
            </w:pPr>
            <w:r>
              <w:rPr>
                <w:color w:val="000000" w:themeColor="text1"/>
                <w:kern w:val="24"/>
                <w:sz w:val="18"/>
                <w:szCs w:val="18"/>
              </w:rPr>
              <w:t>60,9</w:t>
            </w:r>
          </w:p>
        </w:tc>
      </w:tr>
      <w:tr w:rsidR="00EC341B" w:rsidRPr="005071E9" w:rsidTr="000947D5">
        <w:tc>
          <w:tcPr>
            <w:tcW w:w="1714" w:type="dxa"/>
            <w:shd w:val="clear" w:color="auto" w:fill="auto"/>
            <w:vAlign w:val="center"/>
          </w:tcPr>
          <w:p w:rsidR="00EC341B" w:rsidRPr="00AD37B9" w:rsidRDefault="00AD37B9" w:rsidP="00AB5AA5">
            <w:pPr>
              <w:widowControl w:val="0"/>
              <w:spacing w:before="0" w:after="0"/>
              <w:ind w:right="17"/>
              <w:jc w:val="center"/>
              <w:rPr>
                <w:color w:val="000000" w:themeColor="text1"/>
                <w:kern w:val="24"/>
                <w:sz w:val="18"/>
                <w:szCs w:val="18"/>
              </w:rPr>
            </w:pPr>
            <w:r>
              <w:rPr>
                <w:rFonts w:eastAsia="Times New Roman"/>
                <w:bCs/>
                <w:noProof/>
                <w:color w:val="000000" w:themeColor="text1"/>
                <w:sz w:val="18"/>
                <w:szCs w:val="18"/>
              </w:rPr>
              <w:t>Tinggi (&gt;SMP)</w:t>
            </w:r>
          </w:p>
        </w:tc>
        <w:tc>
          <w:tcPr>
            <w:tcW w:w="1469" w:type="dxa"/>
            <w:shd w:val="clear" w:color="auto" w:fill="auto"/>
            <w:vAlign w:val="center"/>
          </w:tcPr>
          <w:p w:rsidR="00EC341B" w:rsidRPr="00AD37B9" w:rsidRDefault="00AD37B9" w:rsidP="00AB5AA5">
            <w:pPr>
              <w:widowControl w:val="0"/>
              <w:spacing w:before="0" w:after="0"/>
              <w:ind w:right="17"/>
              <w:jc w:val="center"/>
              <w:rPr>
                <w:color w:val="000000" w:themeColor="text1"/>
                <w:kern w:val="24"/>
                <w:sz w:val="18"/>
                <w:szCs w:val="18"/>
              </w:rPr>
            </w:pPr>
            <w:r>
              <w:rPr>
                <w:color w:val="000000" w:themeColor="text1"/>
                <w:kern w:val="24"/>
                <w:sz w:val="18"/>
                <w:szCs w:val="18"/>
              </w:rPr>
              <w:t>18</w:t>
            </w:r>
          </w:p>
        </w:tc>
        <w:tc>
          <w:tcPr>
            <w:tcW w:w="1353" w:type="dxa"/>
            <w:shd w:val="clear" w:color="auto" w:fill="auto"/>
            <w:vAlign w:val="center"/>
          </w:tcPr>
          <w:p w:rsidR="00EC341B" w:rsidRPr="00AD37B9" w:rsidRDefault="00AD37B9" w:rsidP="00AB5AA5">
            <w:pPr>
              <w:widowControl w:val="0"/>
              <w:spacing w:before="0" w:after="0"/>
              <w:ind w:right="17"/>
              <w:jc w:val="center"/>
              <w:rPr>
                <w:color w:val="000000" w:themeColor="text1"/>
                <w:kern w:val="24"/>
                <w:sz w:val="18"/>
                <w:szCs w:val="18"/>
              </w:rPr>
            </w:pPr>
            <w:r>
              <w:rPr>
                <w:color w:val="000000" w:themeColor="text1"/>
                <w:kern w:val="24"/>
                <w:sz w:val="18"/>
                <w:szCs w:val="18"/>
              </w:rPr>
              <w:t>39,1</w:t>
            </w:r>
          </w:p>
        </w:tc>
      </w:tr>
      <w:tr w:rsidR="00EC341B" w:rsidRPr="005071E9" w:rsidTr="000947D5">
        <w:tc>
          <w:tcPr>
            <w:tcW w:w="1714" w:type="dxa"/>
            <w:shd w:val="clear" w:color="auto" w:fill="auto"/>
            <w:vAlign w:val="center"/>
          </w:tcPr>
          <w:p w:rsidR="00176419" w:rsidRPr="005071E9" w:rsidRDefault="004C0E8A" w:rsidP="005071E9">
            <w:pPr>
              <w:widowControl w:val="0"/>
              <w:spacing w:before="0" w:after="0"/>
              <w:ind w:right="17"/>
              <w:jc w:val="center"/>
              <w:rPr>
                <w:rFonts w:eastAsia="Times New Roman"/>
                <w:b/>
                <w:bCs/>
                <w:noProof/>
                <w:color w:val="000000" w:themeColor="text1"/>
                <w:sz w:val="18"/>
                <w:szCs w:val="18"/>
              </w:rPr>
            </w:pPr>
            <w:r w:rsidRPr="004C0E8A">
              <w:rPr>
                <w:rFonts w:eastAsia="Times New Roman"/>
                <w:b/>
                <w:bCs/>
                <w:noProof/>
                <w:color w:val="000000" w:themeColor="text1"/>
                <w:sz w:val="18"/>
                <w:szCs w:val="18"/>
              </w:rPr>
              <w:pict>
                <v:shape id="_x0000_s1030" type="#_x0000_t32" style="position:absolute;left:0;text-align:left;margin-left:-4.35pt;margin-top:.05pt;width:226.2pt;height:0;z-index:251661312;mso-position-horizontal-relative:text;mso-position-vertical-relative:text" o:connectortype="straight"/>
              </w:pict>
            </w:r>
            <w:r w:rsidR="00EC341B" w:rsidRPr="005071E9">
              <w:rPr>
                <w:rFonts w:eastAsia="Times New Roman"/>
                <w:b/>
                <w:bCs/>
                <w:noProof/>
                <w:color w:val="000000" w:themeColor="text1"/>
                <w:sz w:val="18"/>
                <w:szCs w:val="18"/>
              </w:rPr>
              <w:t>Pekerjaan</w:t>
            </w:r>
          </w:p>
        </w:tc>
        <w:tc>
          <w:tcPr>
            <w:tcW w:w="1469" w:type="dxa"/>
            <w:shd w:val="clear" w:color="auto" w:fill="auto"/>
            <w:vAlign w:val="center"/>
          </w:tcPr>
          <w:p w:rsidR="00EC341B" w:rsidRPr="005071E9" w:rsidRDefault="00EC341B" w:rsidP="00AB5AA5">
            <w:pPr>
              <w:widowControl w:val="0"/>
              <w:spacing w:before="0" w:after="0"/>
              <w:ind w:right="17"/>
              <w:jc w:val="center"/>
              <w:rPr>
                <w:color w:val="000000" w:themeColor="text1"/>
                <w:kern w:val="24"/>
                <w:sz w:val="18"/>
                <w:szCs w:val="18"/>
                <w:lang w:val="id-ID"/>
              </w:rPr>
            </w:pPr>
          </w:p>
        </w:tc>
        <w:tc>
          <w:tcPr>
            <w:tcW w:w="1353" w:type="dxa"/>
            <w:shd w:val="clear" w:color="auto" w:fill="auto"/>
            <w:vAlign w:val="center"/>
          </w:tcPr>
          <w:p w:rsidR="00EC341B" w:rsidRPr="005071E9" w:rsidRDefault="00EC341B" w:rsidP="00AB5AA5">
            <w:pPr>
              <w:widowControl w:val="0"/>
              <w:spacing w:before="0" w:after="0"/>
              <w:ind w:right="17"/>
              <w:jc w:val="center"/>
              <w:rPr>
                <w:color w:val="000000" w:themeColor="text1"/>
                <w:kern w:val="24"/>
                <w:sz w:val="18"/>
                <w:szCs w:val="18"/>
                <w:lang w:val="id-ID"/>
              </w:rPr>
            </w:pPr>
          </w:p>
        </w:tc>
      </w:tr>
      <w:tr w:rsidR="00EC341B" w:rsidRPr="005071E9" w:rsidTr="000947D5">
        <w:tc>
          <w:tcPr>
            <w:tcW w:w="1714" w:type="dxa"/>
            <w:shd w:val="clear" w:color="auto" w:fill="auto"/>
            <w:vAlign w:val="center"/>
          </w:tcPr>
          <w:p w:rsidR="00EC341B" w:rsidRP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Swasta</w:t>
            </w:r>
          </w:p>
        </w:tc>
        <w:tc>
          <w:tcPr>
            <w:tcW w:w="1469" w:type="dxa"/>
            <w:shd w:val="clear" w:color="auto" w:fill="auto"/>
            <w:vAlign w:val="center"/>
          </w:tcPr>
          <w:p w:rsidR="00EC341B" w:rsidRPr="009F66EA" w:rsidRDefault="009F66EA" w:rsidP="00AB5AA5">
            <w:pPr>
              <w:widowControl w:val="0"/>
              <w:tabs>
                <w:tab w:val="left" w:pos="195"/>
                <w:tab w:val="center" w:pos="1118"/>
              </w:tabs>
              <w:spacing w:before="0" w:after="0"/>
              <w:ind w:right="17"/>
              <w:jc w:val="center"/>
              <w:rPr>
                <w:color w:val="000000" w:themeColor="text1"/>
                <w:kern w:val="24"/>
                <w:sz w:val="18"/>
                <w:szCs w:val="18"/>
              </w:rPr>
            </w:pPr>
            <w:r>
              <w:rPr>
                <w:color w:val="000000" w:themeColor="text1"/>
                <w:kern w:val="24"/>
                <w:sz w:val="18"/>
                <w:szCs w:val="18"/>
              </w:rPr>
              <w:t>18</w:t>
            </w:r>
          </w:p>
        </w:tc>
        <w:tc>
          <w:tcPr>
            <w:tcW w:w="1353" w:type="dxa"/>
            <w:shd w:val="clear" w:color="auto" w:fill="auto"/>
            <w:vAlign w:val="center"/>
          </w:tcPr>
          <w:p w:rsidR="00EC341B" w:rsidRP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39,1</w:t>
            </w:r>
          </w:p>
        </w:tc>
      </w:tr>
      <w:tr w:rsidR="00EC341B" w:rsidRPr="005071E9" w:rsidTr="000947D5">
        <w:tc>
          <w:tcPr>
            <w:tcW w:w="1714" w:type="dxa"/>
            <w:shd w:val="clear" w:color="auto" w:fill="auto"/>
            <w:vAlign w:val="center"/>
          </w:tcPr>
          <w:p w:rsidR="00EC341B" w:rsidRP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Pemulung</w:t>
            </w:r>
          </w:p>
        </w:tc>
        <w:tc>
          <w:tcPr>
            <w:tcW w:w="1469" w:type="dxa"/>
            <w:shd w:val="clear" w:color="auto" w:fill="auto"/>
            <w:vAlign w:val="center"/>
          </w:tcPr>
          <w:p w:rsidR="00EC341B" w:rsidRPr="009F66EA" w:rsidRDefault="00EC341B" w:rsidP="00AB5AA5">
            <w:pPr>
              <w:widowControl w:val="0"/>
              <w:tabs>
                <w:tab w:val="left" w:pos="195"/>
                <w:tab w:val="center" w:pos="1118"/>
              </w:tabs>
              <w:spacing w:before="0" w:after="0"/>
              <w:ind w:right="17"/>
              <w:jc w:val="center"/>
              <w:rPr>
                <w:color w:val="000000" w:themeColor="text1"/>
                <w:kern w:val="24"/>
                <w:sz w:val="18"/>
                <w:szCs w:val="18"/>
              </w:rPr>
            </w:pPr>
            <w:r w:rsidRPr="005071E9">
              <w:rPr>
                <w:color w:val="000000" w:themeColor="text1"/>
                <w:kern w:val="24"/>
                <w:sz w:val="18"/>
                <w:szCs w:val="18"/>
                <w:lang w:val="id-ID"/>
              </w:rPr>
              <w:t>2</w:t>
            </w:r>
            <w:r w:rsidR="009F66EA">
              <w:rPr>
                <w:color w:val="000000" w:themeColor="text1"/>
                <w:kern w:val="24"/>
                <w:sz w:val="18"/>
                <w:szCs w:val="18"/>
              </w:rPr>
              <w:t>7</w:t>
            </w:r>
          </w:p>
        </w:tc>
        <w:tc>
          <w:tcPr>
            <w:tcW w:w="1353" w:type="dxa"/>
            <w:shd w:val="clear" w:color="auto" w:fill="auto"/>
            <w:vAlign w:val="center"/>
          </w:tcPr>
          <w:p w:rsidR="00EC341B" w:rsidRP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58,7</w:t>
            </w:r>
          </w:p>
        </w:tc>
      </w:tr>
      <w:tr w:rsidR="00EC341B" w:rsidRPr="005071E9" w:rsidTr="000947D5">
        <w:tc>
          <w:tcPr>
            <w:tcW w:w="1714" w:type="dxa"/>
            <w:shd w:val="clear" w:color="auto" w:fill="auto"/>
            <w:vAlign w:val="center"/>
          </w:tcPr>
          <w:p w:rsidR="00EC341B" w:rsidRPr="009F66EA" w:rsidRDefault="009F66EA" w:rsidP="00AB5AA5">
            <w:pPr>
              <w:widowControl w:val="0"/>
              <w:spacing w:before="0" w:after="0"/>
              <w:ind w:right="17"/>
              <w:jc w:val="center"/>
              <w:rPr>
                <w:rFonts w:eastAsia="Times New Roman"/>
                <w:bCs/>
                <w:noProof/>
                <w:color w:val="000000" w:themeColor="text1"/>
                <w:sz w:val="18"/>
                <w:szCs w:val="18"/>
              </w:rPr>
            </w:pPr>
            <w:r>
              <w:rPr>
                <w:rFonts w:eastAsia="Times New Roman"/>
                <w:bCs/>
                <w:noProof/>
                <w:color w:val="000000" w:themeColor="text1"/>
                <w:sz w:val="18"/>
                <w:szCs w:val="18"/>
              </w:rPr>
              <w:t>Lain-lain</w:t>
            </w:r>
          </w:p>
        </w:tc>
        <w:tc>
          <w:tcPr>
            <w:tcW w:w="1469" w:type="dxa"/>
            <w:shd w:val="clear" w:color="auto" w:fill="auto"/>
            <w:vAlign w:val="center"/>
          </w:tcPr>
          <w:p w:rsidR="00EC341B" w:rsidRP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1</w:t>
            </w:r>
          </w:p>
        </w:tc>
        <w:tc>
          <w:tcPr>
            <w:tcW w:w="1353" w:type="dxa"/>
            <w:shd w:val="clear" w:color="auto" w:fill="auto"/>
            <w:vAlign w:val="center"/>
          </w:tcPr>
          <w:p w:rsidR="00EC341B" w:rsidRP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2,2</w:t>
            </w:r>
          </w:p>
        </w:tc>
      </w:tr>
      <w:tr w:rsidR="00EC341B" w:rsidRPr="005071E9" w:rsidTr="000947D5">
        <w:tc>
          <w:tcPr>
            <w:tcW w:w="1714" w:type="dxa"/>
            <w:shd w:val="clear" w:color="auto" w:fill="auto"/>
            <w:vAlign w:val="center"/>
          </w:tcPr>
          <w:p w:rsidR="00176419" w:rsidRPr="005071E9" w:rsidRDefault="004C0E8A" w:rsidP="005071E9">
            <w:pPr>
              <w:widowControl w:val="0"/>
              <w:spacing w:before="0" w:after="0"/>
              <w:ind w:right="17"/>
              <w:jc w:val="center"/>
              <w:rPr>
                <w:rFonts w:eastAsia="Times New Roman"/>
                <w:b/>
                <w:bCs/>
                <w:noProof/>
                <w:color w:val="000000" w:themeColor="text1"/>
                <w:sz w:val="18"/>
                <w:szCs w:val="18"/>
              </w:rPr>
            </w:pPr>
            <w:r w:rsidRPr="004C0E8A">
              <w:rPr>
                <w:rFonts w:eastAsia="Times New Roman"/>
                <w:b/>
                <w:bCs/>
                <w:noProof/>
                <w:color w:val="000000" w:themeColor="text1"/>
                <w:sz w:val="18"/>
                <w:szCs w:val="18"/>
              </w:rPr>
              <w:pict>
                <v:shape id="_x0000_s1028" type="#_x0000_t32" style="position:absolute;left:0;text-align:left;margin-left:-4.65pt;margin-top:-1.3pt;width:226.5pt;height:0;z-index:251660288;mso-position-horizontal-relative:text;mso-position-vertical-relative:text" o:connectortype="straight"/>
              </w:pict>
            </w:r>
            <w:r w:rsidR="00EC341B" w:rsidRPr="005071E9">
              <w:rPr>
                <w:rFonts w:eastAsia="Times New Roman"/>
                <w:b/>
                <w:bCs/>
                <w:noProof/>
                <w:color w:val="000000" w:themeColor="text1"/>
                <w:sz w:val="18"/>
                <w:szCs w:val="18"/>
              </w:rPr>
              <w:t>Pen</w:t>
            </w:r>
            <w:r w:rsidR="009F66EA">
              <w:rPr>
                <w:rFonts w:eastAsia="Times New Roman"/>
                <w:b/>
                <w:bCs/>
                <w:noProof/>
                <w:color w:val="000000" w:themeColor="text1"/>
                <w:sz w:val="18"/>
                <w:szCs w:val="18"/>
              </w:rPr>
              <w:t>ghasilan</w:t>
            </w:r>
          </w:p>
        </w:tc>
        <w:tc>
          <w:tcPr>
            <w:tcW w:w="1469" w:type="dxa"/>
            <w:shd w:val="clear" w:color="auto" w:fill="auto"/>
            <w:vAlign w:val="center"/>
          </w:tcPr>
          <w:p w:rsidR="00EC341B" w:rsidRPr="005071E9" w:rsidRDefault="00EC341B" w:rsidP="00AB5AA5">
            <w:pPr>
              <w:widowControl w:val="0"/>
              <w:spacing w:after="0"/>
              <w:ind w:right="17"/>
              <w:jc w:val="center"/>
              <w:rPr>
                <w:color w:val="000000" w:themeColor="text1"/>
                <w:kern w:val="24"/>
                <w:sz w:val="18"/>
                <w:szCs w:val="18"/>
                <w:lang w:val="id-ID"/>
              </w:rPr>
            </w:pPr>
          </w:p>
        </w:tc>
        <w:tc>
          <w:tcPr>
            <w:tcW w:w="1353" w:type="dxa"/>
            <w:shd w:val="clear" w:color="auto" w:fill="auto"/>
            <w:vAlign w:val="center"/>
          </w:tcPr>
          <w:p w:rsidR="00EC341B" w:rsidRPr="005071E9" w:rsidRDefault="00EC341B" w:rsidP="00AB5AA5">
            <w:pPr>
              <w:widowControl w:val="0"/>
              <w:spacing w:after="0"/>
              <w:ind w:right="17"/>
              <w:jc w:val="center"/>
              <w:rPr>
                <w:color w:val="000000" w:themeColor="text1"/>
                <w:kern w:val="24"/>
                <w:sz w:val="18"/>
                <w:szCs w:val="18"/>
                <w:lang w:val="id-ID"/>
              </w:rPr>
            </w:pPr>
          </w:p>
        </w:tc>
      </w:tr>
      <w:tr w:rsidR="00EC341B" w:rsidRPr="005071E9" w:rsidTr="000947D5">
        <w:tc>
          <w:tcPr>
            <w:tcW w:w="1714" w:type="dxa"/>
            <w:shd w:val="clear" w:color="auto" w:fill="auto"/>
            <w:vAlign w:val="center"/>
          </w:tcPr>
          <w:p w:rsidR="00EC341B" w:rsidRP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&gt;UMR</w:t>
            </w:r>
          </w:p>
        </w:tc>
        <w:tc>
          <w:tcPr>
            <w:tcW w:w="1469" w:type="dxa"/>
            <w:shd w:val="clear" w:color="auto" w:fill="auto"/>
            <w:vAlign w:val="center"/>
          </w:tcPr>
          <w:p w:rsidR="00EC341B" w:rsidRPr="009F66EA" w:rsidRDefault="009F66EA" w:rsidP="00AB5AA5">
            <w:pPr>
              <w:widowControl w:val="0"/>
              <w:tabs>
                <w:tab w:val="left" w:pos="195"/>
                <w:tab w:val="center" w:pos="1118"/>
              </w:tabs>
              <w:spacing w:before="0" w:after="0"/>
              <w:ind w:right="17"/>
              <w:jc w:val="center"/>
              <w:rPr>
                <w:color w:val="000000" w:themeColor="text1"/>
                <w:kern w:val="24"/>
                <w:sz w:val="18"/>
                <w:szCs w:val="18"/>
              </w:rPr>
            </w:pPr>
            <w:r>
              <w:rPr>
                <w:color w:val="000000" w:themeColor="text1"/>
                <w:kern w:val="24"/>
                <w:sz w:val="18"/>
                <w:szCs w:val="18"/>
              </w:rPr>
              <w:t>6</w:t>
            </w:r>
          </w:p>
        </w:tc>
        <w:tc>
          <w:tcPr>
            <w:tcW w:w="1353" w:type="dxa"/>
            <w:shd w:val="clear" w:color="auto" w:fill="auto"/>
            <w:vAlign w:val="center"/>
          </w:tcPr>
          <w:p w:rsidR="00EC341B" w:rsidRP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13,0</w:t>
            </w:r>
          </w:p>
        </w:tc>
      </w:tr>
      <w:tr w:rsidR="00EC341B" w:rsidRPr="005071E9" w:rsidTr="000947D5">
        <w:tc>
          <w:tcPr>
            <w:tcW w:w="1714" w:type="dxa"/>
            <w:shd w:val="clear" w:color="auto" w:fill="auto"/>
            <w:vAlign w:val="center"/>
          </w:tcPr>
          <w:p w:rsidR="00EC341B" w:rsidRP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UMR</w:t>
            </w:r>
          </w:p>
        </w:tc>
        <w:tc>
          <w:tcPr>
            <w:tcW w:w="1469" w:type="dxa"/>
            <w:shd w:val="clear" w:color="auto" w:fill="auto"/>
            <w:vAlign w:val="center"/>
          </w:tcPr>
          <w:p w:rsidR="00EC341B" w:rsidRPr="009F66EA" w:rsidRDefault="00EC341B" w:rsidP="00AB5AA5">
            <w:pPr>
              <w:widowControl w:val="0"/>
              <w:tabs>
                <w:tab w:val="left" w:pos="195"/>
                <w:tab w:val="center" w:pos="1118"/>
              </w:tabs>
              <w:spacing w:before="0" w:after="0"/>
              <w:ind w:right="17"/>
              <w:jc w:val="center"/>
              <w:rPr>
                <w:color w:val="000000" w:themeColor="text1"/>
                <w:kern w:val="24"/>
                <w:sz w:val="18"/>
                <w:szCs w:val="18"/>
              </w:rPr>
            </w:pPr>
            <w:r w:rsidRPr="005071E9">
              <w:rPr>
                <w:color w:val="000000" w:themeColor="text1"/>
                <w:kern w:val="24"/>
                <w:sz w:val="18"/>
                <w:szCs w:val="18"/>
                <w:lang w:val="id-ID"/>
              </w:rPr>
              <w:t>1</w:t>
            </w:r>
            <w:r w:rsidR="009F66EA">
              <w:rPr>
                <w:color w:val="000000" w:themeColor="text1"/>
                <w:kern w:val="24"/>
                <w:sz w:val="18"/>
                <w:szCs w:val="18"/>
              </w:rPr>
              <w:t>1</w:t>
            </w:r>
          </w:p>
        </w:tc>
        <w:tc>
          <w:tcPr>
            <w:tcW w:w="1353" w:type="dxa"/>
            <w:shd w:val="clear" w:color="auto" w:fill="auto"/>
            <w:vAlign w:val="center"/>
          </w:tcPr>
          <w:p w:rsidR="00EC341B" w:rsidRPr="009F66EA" w:rsidRDefault="00EC341B" w:rsidP="00AB5AA5">
            <w:pPr>
              <w:widowControl w:val="0"/>
              <w:spacing w:before="0" w:after="0"/>
              <w:ind w:right="17"/>
              <w:jc w:val="center"/>
              <w:rPr>
                <w:color w:val="000000" w:themeColor="text1"/>
                <w:kern w:val="24"/>
                <w:sz w:val="18"/>
                <w:szCs w:val="18"/>
              </w:rPr>
            </w:pPr>
            <w:r w:rsidRPr="005071E9">
              <w:rPr>
                <w:color w:val="000000" w:themeColor="text1"/>
                <w:kern w:val="24"/>
                <w:sz w:val="18"/>
                <w:szCs w:val="18"/>
                <w:lang w:val="id-ID"/>
              </w:rPr>
              <w:t>2</w:t>
            </w:r>
            <w:r w:rsidR="009F66EA">
              <w:rPr>
                <w:color w:val="000000" w:themeColor="text1"/>
                <w:kern w:val="24"/>
                <w:sz w:val="18"/>
                <w:szCs w:val="18"/>
              </w:rPr>
              <w:t>3,9</w:t>
            </w:r>
          </w:p>
        </w:tc>
      </w:tr>
      <w:tr w:rsidR="00EC341B" w:rsidRPr="005071E9" w:rsidTr="009F66EA">
        <w:tc>
          <w:tcPr>
            <w:tcW w:w="1714" w:type="dxa"/>
            <w:tcBorders>
              <w:bottom w:val="single" w:sz="4" w:space="0" w:color="000000" w:themeColor="text1"/>
            </w:tcBorders>
            <w:shd w:val="clear" w:color="auto" w:fill="auto"/>
            <w:vAlign w:val="center"/>
          </w:tcPr>
          <w:p w:rsidR="00EC341B" w:rsidRPr="009F66EA" w:rsidRDefault="009F66EA" w:rsidP="00AB5AA5">
            <w:pPr>
              <w:widowControl w:val="0"/>
              <w:spacing w:before="0" w:after="0"/>
              <w:ind w:right="17"/>
              <w:jc w:val="center"/>
              <w:rPr>
                <w:color w:val="000000" w:themeColor="text1"/>
                <w:kern w:val="24"/>
                <w:sz w:val="18"/>
                <w:szCs w:val="18"/>
              </w:rPr>
            </w:pPr>
            <w:r>
              <w:rPr>
                <w:rFonts w:eastAsia="Times New Roman"/>
                <w:bCs/>
                <w:noProof/>
                <w:color w:val="000000" w:themeColor="text1"/>
                <w:sz w:val="18"/>
                <w:szCs w:val="18"/>
              </w:rPr>
              <w:t>&lt;UMR</w:t>
            </w:r>
          </w:p>
        </w:tc>
        <w:tc>
          <w:tcPr>
            <w:tcW w:w="1469" w:type="dxa"/>
            <w:tcBorders>
              <w:bottom w:val="single" w:sz="4" w:space="0" w:color="000000" w:themeColor="text1"/>
            </w:tcBorders>
            <w:shd w:val="clear" w:color="auto" w:fill="auto"/>
            <w:vAlign w:val="center"/>
          </w:tcPr>
          <w:p w:rsidR="00EC341B" w:rsidRP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29</w:t>
            </w:r>
          </w:p>
        </w:tc>
        <w:tc>
          <w:tcPr>
            <w:tcW w:w="1353" w:type="dxa"/>
            <w:tcBorders>
              <w:bottom w:val="single" w:sz="4" w:space="0" w:color="000000" w:themeColor="text1"/>
            </w:tcBorders>
            <w:shd w:val="clear" w:color="auto" w:fill="auto"/>
            <w:vAlign w:val="center"/>
          </w:tcPr>
          <w:p w:rsidR="00EC341B" w:rsidRP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63,0</w:t>
            </w:r>
          </w:p>
        </w:tc>
      </w:tr>
      <w:tr w:rsidR="009F66EA" w:rsidRPr="005071E9" w:rsidTr="009F66EA">
        <w:tc>
          <w:tcPr>
            <w:tcW w:w="1714" w:type="dxa"/>
            <w:tcBorders>
              <w:top w:val="single" w:sz="4" w:space="0" w:color="000000" w:themeColor="text1"/>
              <w:bottom w:val="nil"/>
            </w:tcBorders>
            <w:shd w:val="clear" w:color="auto" w:fill="auto"/>
            <w:vAlign w:val="center"/>
          </w:tcPr>
          <w:p w:rsidR="009F66EA" w:rsidRPr="009F66EA" w:rsidRDefault="009F66EA" w:rsidP="00AB5AA5">
            <w:pPr>
              <w:widowControl w:val="0"/>
              <w:spacing w:before="0" w:after="0"/>
              <w:ind w:right="17"/>
              <w:jc w:val="center"/>
              <w:rPr>
                <w:rFonts w:eastAsia="Times New Roman"/>
                <w:b/>
                <w:bCs/>
                <w:noProof/>
                <w:color w:val="000000" w:themeColor="text1"/>
                <w:sz w:val="18"/>
                <w:szCs w:val="18"/>
              </w:rPr>
            </w:pPr>
            <w:r w:rsidRPr="009F66EA">
              <w:rPr>
                <w:rFonts w:eastAsia="Times New Roman"/>
                <w:b/>
                <w:bCs/>
                <w:noProof/>
                <w:color w:val="000000" w:themeColor="text1"/>
                <w:sz w:val="18"/>
                <w:szCs w:val="18"/>
              </w:rPr>
              <w:t>Suku</w:t>
            </w:r>
          </w:p>
        </w:tc>
        <w:tc>
          <w:tcPr>
            <w:tcW w:w="1469" w:type="dxa"/>
            <w:tcBorders>
              <w:top w:val="single" w:sz="4" w:space="0" w:color="000000" w:themeColor="text1"/>
              <w:bottom w:val="nil"/>
            </w:tcBorders>
            <w:shd w:val="clear" w:color="auto" w:fill="auto"/>
            <w:vAlign w:val="center"/>
          </w:tcPr>
          <w:p w:rsidR="009F66EA" w:rsidRDefault="009F66EA" w:rsidP="00AB5AA5">
            <w:pPr>
              <w:widowControl w:val="0"/>
              <w:spacing w:before="0" w:after="0"/>
              <w:ind w:right="17"/>
              <w:jc w:val="center"/>
              <w:rPr>
                <w:color w:val="000000" w:themeColor="text1"/>
                <w:kern w:val="24"/>
                <w:sz w:val="18"/>
                <w:szCs w:val="18"/>
              </w:rPr>
            </w:pPr>
          </w:p>
        </w:tc>
        <w:tc>
          <w:tcPr>
            <w:tcW w:w="1353" w:type="dxa"/>
            <w:tcBorders>
              <w:top w:val="single" w:sz="4" w:space="0" w:color="000000" w:themeColor="text1"/>
              <w:bottom w:val="nil"/>
            </w:tcBorders>
            <w:shd w:val="clear" w:color="auto" w:fill="auto"/>
            <w:vAlign w:val="center"/>
          </w:tcPr>
          <w:p w:rsidR="009F66EA" w:rsidRDefault="009F66EA" w:rsidP="00AB5AA5">
            <w:pPr>
              <w:widowControl w:val="0"/>
              <w:spacing w:before="0" w:after="0"/>
              <w:ind w:right="17"/>
              <w:jc w:val="center"/>
              <w:rPr>
                <w:color w:val="000000" w:themeColor="text1"/>
                <w:kern w:val="24"/>
                <w:sz w:val="18"/>
                <w:szCs w:val="18"/>
              </w:rPr>
            </w:pPr>
          </w:p>
        </w:tc>
      </w:tr>
      <w:tr w:rsidR="009F66EA" w:rsidRPr="005071E9" w:rsidTr="009F66EA">
        <w:tc>
          <w:tcPr>
            <w:tcW w:w="1714" w:type="dxa"/>
            <w:tcBorders>
              <w:top w:val="nil"/>
            </w:tcBorders>
            <w:shd w:val="clear" w:color="auto" w:fill="auto"/>
            <w:vAlign w:val="center"/>
          </w:tcPr>
          <w:p w:rsidR="009F66EA" w:rsidRDefault="009F66EA" w:rsidP="00AB5AA5">
            <w:pPr>
              <w:widowControl w:val="0"/>
              <w:spacing w:before="0" w:after="0"/>
              <w:ind w:right="17"/>
              <w:jc w:val="center"/>
              <w:rPr>
                <w:rFonts w:eastAsia="Times New Roman"/>
                <w:bCs/>
                <w:noProof/>
                <w:color w:val="000000" w:themeColor="text1"/>
                <w:sz w:val="18"/>
                <w:szCs w:val="18"/>
              </w:rPr>
            </w:pPr>
            <w:r>
              <w:rPr>
                <w:rFonts w:eastAsia="Times New Roman"/>
                <w:bCs/>
                <w:noProof/>
                <w:color w:val="000000" w:themeColor="text1"/>
                <w:sz w:val="18"/>
                <w:szCs w:val="18"/>
              </w:rPr>
              <w:lastRenderedPageBreak/>
              <w:t>Madura</w:t>
            </w:r>
          </w:p>
        </w:tc>
        <w:tc>
          <w:tcPr>
            <w:tcW w:w="1469" w:type="dxa"/>
            <w:tcBorders>
              <w:top w:val="nil"/>
            </w:tcBorders>
            <w:shd w:val="clear" w:color="auto" w:fill="auto"/>
            <w:vAlign w:val="center"/>
          </w:tcPr>
          <w:p w:rsid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40</w:t>
            </w:r>
          </w:p>
        </w:tc>
        <w:tc>
          <w:tcPr>
            <w:tcW w:w="1353" w:type="dxa"/>
            <w:tcBorders>
              <w:top w:val="nil"/>
            </w:tcBorders>
            <w:shd w:val="clear" w:color="auto" w:fill="auto"/>
            <w:vAlign w:val="center"/>
          </w:tcPr>
          <w:p w:rsid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13,0</w:t>
            </w:r>
          </w:p>
        </w:tc>
      </w:tr>
      <w:tr w:rsidR="009F66EA" w:rsidRPr="005071E9" w:rsidTr="000947D5">
        <w:tc>
          <w:tcPr>
            <w:tcW w:w="1714" w:type="dxa"/>
            <w:shd w:val="clear" w:color="auto" w:fill="auto"/>
            <w:vAlign w:val="center"/>
          </w:tcPr>
          <w:p w:rsidR="009F66EA" w:rsidRDefault="009F66EA" w:rsidP="00AB5AA5">
            <w:pPr>
              <w:widowControl w:val="0"/>
              <w:spacing w:before="0" w:after="0"/>
              <w:ind w:right="17"/>
              <w:jc w:val="center"/>
              <w:rPr>
                <w:rFonts w:eastAsia="Times New Roman"/>
                <w:bCs/>
                <w:noProof/>
                <w:color w:val="000000" w:themeColor="text1"/>
                <w:sz w:val="18"/>
                <w:szCs w:val="18"/>
              </w:rPr>
            </w:pPr>
            <w:r>
              <w:rPr>
                <w:rFonts w:eastAsia="Times New Roman"/>
                <w:bCs/>
                <w:noProof/>
                <w:color w:val="000000" w:themeColor="text1"/>
                <w:sz w:val="18"/>
                <w:szCs w:val="18"/>
              </w:rPr>
              <w:t>Melayu</w:t>
            </w:r>
          </w:p>
        </w:tc>
        <w:tc>
          <w:tcPr>
            <w:tcW w:w="1469" w:type="dxa"/>
            <w:shd w:val="clear" w:color="auto" w:fill="auto"/>
            <w:vAlign w:val="center"/>
          </w:tcPr>
          <w:p w:rsid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6</w:t>
            </w:r>
          </w:p>
        </w:tc>
        <w:tc>
          <w:tcPr>
            <w:tcW w:w="1353" w:type="dxa"/>
            <w:shd w:val="clear" w:color="auto" w:fill="auto"/>
            <w:vAlign w:val="center"/>
          </w:tcPr>
          <w:p w:rsidR="009F66EA" w:rsidRDefault="009F66EA" w:rsidP="00AB5AA5">
            <w:pPr>
              <w:widowControl w:val="0"/>
              <w:spacing w:before="0" w:after="0"/>
              <w:ind w:right="17"/>
              <w:jc w:val="center"/>
              <w:rPr>
                <w:color w:val="000000" w:themeColor="text1"/>
                <w:kern w:val="24"/>
                <w:sz w:val="18"/>
                <w:szCs w:val="18"/>
              </w:rPr>
            </w:pPr>
            <w:r>
              <w:rPr>
                <w:color w:val="000000" w:themeColor="text1"/>
                <w:kern w:val="24"/>
                <w:sz w:val="18"/>
                <w:szCs w:val="18"/>
              </w:rPr>
              <w:t>87,0</w:t>
            </w:r>
          </w:p>
        </w:tc>
      </w:tr>
    </w:tbl>
    <w:p w:rsidR="009F66EA" w:rsidRPr="009F66EA" w:rsidRDefault="00AB5AA5" w:rsidP="009F66EA">
      <w:pPr>
        <w:spacing w:before="0" w:after="0"/>
        <w:rPr>
          <w:i/>
          <w:kern w:val="24"/>
          <w:sz w:val="18"/>
          <w:szCs w:val="18"/>
        </w:rPr>
      </w:pPr>
      <w:r w:rsidRPr="00AB5AA5">
        <w:rPr>
          <w:i/>
          <w:kern w:val="24"/>
          <w:sz w:val="18"/>
          <w:szCs w:val="18"/>
          <w:lang w:val="id-ID"/>
        </w:rPr>
        <w:t>Sumber : Data Primer 2015</w:t>
      </w:r>
    </w:p>
    <w:p w:rsidR="009F66EA" w:rsidRPr="009F66EA" w:rsidRDefault="009F66EA" w:rsidP="009F66EA">
      <w:pPr>
        <w:widowControl w:val="0"/>
        <w:spacing w:after="0"/>
        <w:rPr>
          <w:kern w:val="24"/>
        </w:rPr>
      </w:pPr>
      <w:r w:rsidRPr="009F66EA">
        <w:rPr>
          <w:rFonts w:eastAsia="TimesNewRoman"/>
        </w:rPr>
        <w:t>Responden yang memiliki tingkat pendidikan yang rendah (</w:t>
      </w:r>
      <w:r>
        <w:rPr>
          <w:rFonts w:eastAsia="TimesNewRoman"/>
        </w:rPr>
        <w:t xml:space="preserve">&lt;SMP) lebih banyak yaitu 60,9 %. </w:t>
      </w:r>
      <w:r w:rsidRPr="009F66EA">
        <w:t>Sebagian masyarakat kelurahan Batu Layang yang menjadi responden berprofesi sebagai buruh/pemulung 58,7%.</w:t>
      </w:r>
      <w:r>
        <w:t xml:space="preserve"> </w:t>
      </w:r>
      <w:r w:rsidRPr="009F66EA">
        <w:t>Penghasilan responden berada pada tingkat ekonomi rendah dimana</w:t>
      </w:r>
      <w:r>
        <w:t xml:space="preserve"> </w:t>
      </w:r>
      <w:r w:rsidRPr="009F66EA">
        <w:t xml:space="preserve">63,0%  </w:t>
      </w:r>
      <w:r>
        <w:t>responden ber</w:t>
      </w:r>
      <w:r w:rsidRPr="009F66EA">
        <w:t>penghas</w:t>
      </w:r>
      <w:r w:rsidR="00DA26D9">
        <w:t>ilan &lt;UMR</w:t>
      </w:r>
      <w:r>
        <w:t>.</w:t>
      </w:r>
      <w:r w:rsidRPr="009F66EA">
        <w:rPr>
          <w:kern w:val="24"/>
        </w:rPr>
        <w:t xml:space="preserve"> </w:t>
      </w:r>
      <w:r w:rsidRPr="009F66EA">
        <w:t>Responden sebagian besar berasal dari suku madura dengan persentase 87,0%</w:t>
      </w:r>
      <w:r>
        <w:t>.</w:t>
      </w:r>
      <w:r w:rsidRPr="009F66EA">
        <w:t>.</w:t>
      </w:r>
    </w:p>
    <w:p w:rsidR="008949E1" w:rsidRDefault="00AA0DC3" w:rsidP="00E23FD5">
      <w:pPr>
        <w:widowControl w:val="0"/>
        <w:spacing w:after="0"/>
        <w:jc w:val="center"/>
        <w:rPr>
          <w:b/>
          <w:kern w:val="24"/>
          <w:sz w:val="18"/>
          <w:szCs w:val="18"/>
        </w:rPr>
      </w:pPr>
      <w:r>
        <w:rPr>
          <w:b/>
          <w:kern w:val="24"/>
          <w:sz w:val="18"/>
          <w:szCs w:val="18"/>
        </w:rPr>
        <w:t xml:space="preserve">Tabel 2. </w:t>
      </w:r>
      <w:r w:rsidR="00E76224" w:rsidRPr="00E76224">
        <w:rPr>
          <w:b/>
          <w:kern w:val="24"/>
          <w:sz w:val="18"/>
          <w:szCs w:val="18"/>
        </w:rPr>
        <w:t>Analisa Univariat</w:t>
      </w:r>
    </w:p>
    <w:p w:rsidR="00E23FD5" w:rsidRPr="00E76224" w:rsidRDefault="00E23FD5" w:rsidP="00E23FD5">
      <w:pPr>
        <w:widowControl w:val="0"/>
        <w:spacing w:before="0" w:after="0"/>
        <w:jc w:val="center"/>
        <w:rPr>
          <w:b/>
          <w:kern w:val="24"/>
          <w:sz w:val="18"/>
          <w:szCs w:val="18"/>
        </w:rPr>
      </w:pPr>
    </w:p>
    <w:tbl>
      <w:tblPr>
        <w:tblStyle w:val="LightShading-Accent11"/>
        <w:tblW w:w="0" w:type="auto"/>
        <w:tblBorders>
          <w:top w:val="single" w:sz="8" w:space="0" w:color="262626" w:themeColor="text1" w:themeTint="D9"/>
          <w:bottom w:val="single" w:sz="8" w:space="0" w:color="262626" w:themeColor="text1" w:themeTint="D9"/>
        </w:tblBorders>
        <w:tblLook w:val="04A0"/>
      </w:tblPr>
      <w:tblGrid>
        <w:gridCol w:w="1512"/>
        <w:gridCol w:w="1512"/>
        <w:gridCol w:w="1512"/>
      </w:tblGrid>
      <w:tr w:rsidR="00E76224" w:rsidRPr="00683B5E" w:rsidTr="00994ED8">
        <w:trPr>
          <w:cnfStyle w:val="100000000000"/>
        </w:trPr>
        <w:tc>
          <w:tcPr>
            <w:cnfStyle w:val="001000000000"/>
            <w:tcW w:w="1512" w:type="dxa"/>
            <w:tcBorders>
              <w:top w:val="single" w:sz="8" w:space="0" w:color="262626" w:themeColor="text1" w:themeTint="D9"/>
              <w:left w:val="none" w:sz="0" w:space="0" w:color="auto"/>
              <w:bottom w:val="single" w:sz="8" w:space="0" w:color="262626" w:themeColor="text1" w:themeTint="D9"/>
              <w:right w:val="none" w:sz="0" w:space="0" w:color="auto"/>
            </w:tcBorders>
            <w:shd w:val="clear" w:color="auto" w:fill="auto"/>
            <w:vAlign w:val="center"/>
          </w:tcPr>
          <w:p w:rsidR="00E76224" w:rsidRPr="00683B5E" w:rsidRDefault="00E76224" w:rsidP="00683B5E">
            <w:pPr>
              <w:widowControl w:val="0"/>
              <w:spacing w:before="0" w:after="0"/>
              <w:jc w:val="center"/>
              <w:rPr>
                <w:color w:val="auto"/>
                <w:kern w:val="24"/>
                <w:sz w:val="18"/>
                <w:szCs w:val="18"/>
              </w:rPr>
            </w:pPr>
            <w:r w:rsidRPr="00683B5E">
              <w:rPr>
                <w:color w:val="auto"/>
                <w:kern w:val="24"/>
                <w:sz w:val="18"/>
                <w:szCs w:val="18"/>
              </w:rPr>
              <w:t>Variabel</w:t>
            </w:r>
          </w:p>
        </w:tc>
        <w:tc>
          <w:tcPr>
            <w:tcW w:w="1512" w:type="dxa"/>
            <w:tcBorders>
              <w:top w:val="single" w:sz="8" w:space="0" w:color="262626" w:themeColor="text1" w:themeTint="D9"/>
              <w:left w:val="none" w:sz="0" w:space="0" w:color="auto"/>
              <w:bottom w:val="single" w:sz="8" w:space="0" w:color="262626" w:themeColor="text1" w:themeTint="D9"/>
              <w:right w:val="none" w:sz="0" w:space="0" w:color="auto"/>
            </w:tcBorders>
            <w:shd w:val="clear" w:color="auto" w:fill="auto"/>
            <w:vAlign w:val="center"/>
          </w:tcPr>
          <w:p w:rsidR="00E76224" w:rsidRPr="00683B5E" w:rsidRDefault="00E76224" w:rsidP="00683B5E">
            <w:pPr>
              <w:widowControl w:val="0"/>
              <w:spacing w:after="0"/>
              <w:jc w:val="center"/>
              <w:cnfStyle w:val="100000000000"/>
              <w:rPr>
                <w:color w:val="auto"/>
                <w:kern w:val="24"/>
                <w:sz w:val="18"/>
                <w:szCs w:val="18"/>
              </w:rPr>
            </w:pPr>
            <w:r w:rsidRPr="00683B5E">
              <w:rPr>
                <w:color w:val="auto"/>
                <w:kern w:val="24"/>
                <w:sz w:val="18"/>
                <w:szCs w:val="18"/>
              </w:rPr>
              <w:t>F</w:t>
            </w:r>
          </w:p>
        </w:tc>
        <w:tc>
          <w:tcPr>
            <w:tcW w:w="1512" w:type="dxa"/>
            <w:tcBorders>
              <w:top w:val="single" w:sz="8" w:space="0" w:color="262626" w:themeColor="text1" w:themeTint="D9"/>
              <w:left w:val="none" w:sz="0" w:space="0" w:color="auto"/>
              <w:bottom w:val="single" w:sz="8" w:space="0" w:color="262626" w:themeColor="text1" w:themeTint="D9"/>
              <w:right w:val="none" w:sz="0" w:space="0" w:color="auto"/>
            </w:tcBorders>
            <w:shd w:val="clear" w:color="auto" w:fill="auto"/>
            <w:vAlign w:val="center"/>
          </w:tcPr>
          <w:p w:rsidR="00E76224" w:rsidRPr="00683B5E" w:rsidRDefault="00E76224" w:rsidP="00683B5E">
            <w:pPr>
              <w:widowControl w:val="0"/>
              <w:spacing w:after="0"/>
              <w:jc w:val="center"/>
              <w:cnfStyle w:val="100000000000"/>
              <w:rPr>
                <w:color w:val="auto"/>
                <w:kern w:val="24"/>
                <w:sz w:val="18"/>
                <w:szCs w:val="18"/>
              </w:rPr>
            </w:pPr>
            <w:r w:rsidRPr="00683B5E">
              <w:rPr>
                <w:color w:val="auto"/>
                <w:kern w:val="24"/>
                <w:sz w:val="18"/>
                <w:szCs w:val="18"/>
              </w:rPr>
              <w:t>%</w:t>
            </w:r>
          </w:p>
        </w:tc>
      </w:tr>
      <w:tr w:rsidR="00E76224" w:rsidRPr="00683B5E" w:rsidTr="00994ED8">
        <w:trPr>
          <w:cnfStyle w:val="000000100000"/>
        </w:trPr>
        <w:tc>
          <w:tcPr>
            <w:cnfStyle w:val="001000000000"/>
            <w:tcW w:w="4536" w:type="dxa"/>
            <w:gridSpan w:val="3"/>
            <w:tcBorders>
              <w:top w:val="single" w:sz="8" w:space="0" w:color="262626" w:themeColor="text1" w:themeTint="D9"/>
              <w:left w:val="none" w:sz="0" w:space="0" w:color="auto"/>
              <w:bottom w:val="nil"/>
              <w:right w:val="none" w:sz="0" w:space="0" w:color="auto"/>
            </w:tcBorders>
            <w:shd w:val="clear" w:color="auto" w:fill="auto"/>
            <w:vAlign w:val="center"/>
          </w:tcPr>
          <w:p w:rsidR="007A3E3F" w:rsidRPr="00683B5E" w:rsidRDefault="001348D3" w:rsidP="00683B5E">
            <w:pPr>
              <w:widowControl w:val="0"/>
              <w:spacing w:before="0" w:after="0"/>
              <w:ind w:left="284"/>
              <w:rPr>
                <w:color w:val="auto"/>
                <w:kern w:val="24"/>
                <w:sz w:val="18"/>
                <w:szCs w:val="18"/>
              </w:rPr>
            </w:pPr>
            <w:r>
              <w:rPr>
                <w:color w:val="auto"/>
                <w:kern w:val="24"/>
                <w:sz w:val="18"/>
                <w:szCs w:val="18"/>
              </w:rPr>
              <w:t>Sumber Air</w:t>
            </w:r>
          </w:p>
        </w:tc>
      </w:tr>
      <w:tr w:rsidR="00E76224" w:rsidRPr="00683B5E" w:rsidTr="00994ED8">
        <w:tc>
          <w:tcPr>
            <w:cnfStyle w:val="001000000000"/>
            <w:tcW w:w="1512" w:type="dxa"/>
            <w:tcBorders>
              <w:top w:val="nil"/>
            </w:tcBorders>
            <w:shd w:val="clear" w:color="auto" w:fill="auto"/>
            <w:vAlign w:val="center"/>
          </w:tcPr>
          <w:p w:rsidR="00E76224" w:rsidRPr="001348D3" w:rsidRDefault="001348D3" w:rsidP="00683B5E">
            <w:pPr>
              <w:pStyle w:val="ListParagraph"/>
              <w:widowControl w:val="0"/>
              <w:spacing w:before="0" w:after="0"/>
              <w:ind w:left="0" w:right="18"/>
              <w:jc w:val="center"/>
              <w:rPr>
                <w:b w:val="0"/>
                <w:color w:val="auto"/>
                <w:kern w:val="24"/>
                <w:sz w:val="18"/>
                <w:szCs w:val="18"/>
              </w:rPr>
            </w:pPr>
            <w:r>
              <w:rPr>
                <w:b w:val="0"/>
                <w:color w:val="auto"/>
                <w:kern w:val="24"/>
                <w:sz w:val="18"/>
                <w:szCs w:val="18"/>
              </w:rPr>
              <w:t>Sumur</w:t>
            </w:r>
          </w:p>
        </w:tc>
        <w:tc>
          <w:tcPr>
            <w:tcW w:w="1512" w:type="dxa"/>
            <w:tcBorders>
              <w:top w:val="nil"/>
            </w:tcBorders>
            <w:shd w:val="clear" w:color="auto" w:fill="auto"/>
            <w:vAlign w:val="center"/>
          </w:tcPr>
          <w:p w:rsidR="00E76224" w:rsidRPr="00683B5E" w:rsidRDefault="001348D3" w:rsidP="00683B5E">
            <w:pPr>
              <w:widowControl w:val="0"/>
              <w:tabs>
                <w:tab w:val="left" w:pos="195"/>
                <w:tab w:val="center" w:pos="1118"/>
              </w:tabs>
              <w:spacing w:before="0" w:after="0"/>
              <w:ind w:right="18"/>
              <w:jc w:val="center"/>
              <w:cnfStyle w:val="000000000000"/>
              <w:rPr>
                <w:color w:val="auto"/>
                <w:kern w:val="24"/>
                <w:sz w:val="18"/>
                <w:szCs w:val="18"/>
              </w:rPr>
            </w:pPr>
            <w:r>
              <w:rPr>
                <w:color w:val="auto"/>
                <w:kern w:val="24"/>
                <w:sz w:val="18"/>
                <w:szCs w:val="18"/>
              </w:rPr>
              <w:t>44</w:t>
            </w:r>
          </w:p>
        </w:tc>
        <w:tc>
          <w:tcPr>
            <w:tcW w:w="1512" w:type="dxa"/>
            <w:tcBorders>
              <w:top w:val="nil"/>
            </w:tcBorders>
            <w:shd w:val="clear" w:color="auto" w:fill="auto"/>
            <w:vAlign w:val="center"/>
          </w:tcPr>
          <w:p w:rsidR="00E76224" w:rsidRPr="001348D3" w:rsidRDefault="001348D3" w:rsidP="00683B5E">
            <w:pPr>
              <w:widowControl w:val="0"/>
              <w:spacing w:before="0" w:after="0"/>
              <w:ind w:right="18"/>
              <w:jc w:val="center"/>
              <w:cnfStyle w:val="000000000000"/>
              <w:rPr>
                <w:color w:val="auto"/>
                <w:kern w:val="24"/>
                <w:sz w:val="18"/>
                <w:szCs w:val="18"/>
              </w:rPr>
            </w:pPr>
            <w:r>
              <w:rPr>
                <w:color w:val="auto"/>
                <w:kern w:val="24"/>
                <w:sz w:val="18"/>
                <w:szCs w:val="18"/>
              </w:rPr>
              <w:t>95,6</w:t>
            </w:r>
          </w:p>
        </w:tc>
      </w:tr>
      <w:tr w:rsidR="00E76224" w:rsidRPr="00683B5E" w:rsidTr="001348D3">
        <w:trPr>
          <w:cnfStyle w:val="000000100000"/>
        </w:trPr>
        <w:tc>
          <w:tcPr>
            <w:cnfStyle w:val="001000000000"/>
            <w:tcW w:w="1512" w:type="dxa"/>
            <w:tcBorders>
              <w:left w:val="none" w:sz="0" w:space="0" w:color="auto"/>
              <w:bottom w:val="single" w:sz="4" w:space="0" w:color="000000" w:themeColor="text1"/>
              <w:right w:val="none" w:sz="0" w:space="0" w:color="auto"/>
            </w:tcBorders>
            <w:shd w:val="clear" w:color="auto" w:fill="auto"/>
            <w:vAlign w:val="center"/>
          </w:tcPr>
          <w:p w:rsidR="00E76224" w:rsidRPr="001348D3" w:rsidRDefault="001348D3" w:rsidP="00683B5E">
            <w:pPr>
              <w:pStyle w:val="ListParagraph"/>
              <w:widowControl w:val="0"/>
              <w:spacing w:before="0" w:after="0"/>
              <w:ind w:left="0" w:right="18"/>
              <w:jc w:val="center"/>
              <w:rPr>
                <w:b w:val="0"/>
                <w:color w:val="auto"/>
                <w:kern w:val="24"/>
                <w:sz w:val="18"/>
                <w:szCs w:val="18"/>
              </w:rPr>
            </w:pPr>
            <w:r>
              <w:rPr>
                <w:b w:val="0"/>
                <w:color w:val="auto"/>
                <w:kern w:val="24"/>
                <w:sz w:val="18"/>
                <w:szCs w:val="18"/>
              </w:rPr>
              <w:t>PDAM</w:t>
            </w:r>
          </w:p>
        </w:tc>
        <w:tc>
          <w:tcPr>
            <w:tcW w:w="1512" w:type="dxa"/>
            <w:tcBorders>
              <w:left w:val="none" w:sz="0" w:space="0" w:color="auto"/>
              <w:bottom w:val="single" w:sz="4" w:space="0" w:color="000000" w:themeColor="text1"/>
              <w:right w:val="none" w:sz="0" w:space="0" w:color="auto"/>
            </w:tcBorders>
            <w:shd w:val="clear" w:color="auto" w:fill="auto"/>
            <w:vAlign w:val="center"/>
          </w:tcPr>
          <w:p w:rsidR="00E76224" w:rsidRPr="001348D3" w:rsidRDefault="001348D3" w:rsidP="00683B5E">
            <w:pPr>
              <w:widowControl w:val="0"/>
              <w:spacing w:before="0" w:after="0"/>
              <w:ind w:right="18"/>
              <w:jc w:val="center"/>
              <w:cnfStyle w:val="000000100000"/>
              <w:rPr>
                <w:color w:val="auto"/>
                <w:kern w:val="24"/>
                <w:sz w:val="18"/>
                <w:szCs w:val="18"/>
              </w:rPr>
            </w:pPr>
            <w:r>
              <w:rPr>
                <w:color w:val="auto"/>
                <w:kern w:val="24"/>
                <w:sz w:val="18"/>
                <w:szCs w:val="18"/>
              </w:rPr>
              <w:t>2</w:t>
            </w:r>
          </w:p>
        </w:tc>
        <w:tc>
          <w:tcPr>
            <w:tcW w:w="1512" w:type="dxa"/>
            <w:tcBorders>
              <w:left w:val="none" w:sz="0" w:space="0" w:color="auto"/>
              <w:bottom w:val="single" w:sz="4" w:space="0" w:color="000000" w:themeColor="text1"/>
              <w:right w:val="none" w:sz="0" w:space="0" w:color="auto"/>
            </w:tcBorders>
            <w:shd w:val="clear" w:color="auto" w:fill="auto"/>
            <w:vAlign w:val="center"/>
          </w:tcPr>
          <w:p w:rsidR="00E76224" w:rsidRPr="001348D3" w:rsidRDefault="001348D3" w:rsidP="00683B5E">
            <w:pPr>
              <w:widowControl w:val="0"/>
              <w:spacing w:before="0" w:after="0"/>
              <w:ind w:right="18"/>
              <w:jc w:val="center"/>
              <w:cnfStyle w:val="000000100000"/>
              <w:rPr>
                <w:color w:val="auto"/>
                <w:kern w:val="24"/>
                <w:sz w:val="18"/>
                <w:szCs w:val="18"/>
              </w:rPr>
            </w:pPr>
            <w:r>
              <w:rPr>
                <w:color w:val="auto"/>
                <w:kern w:val="24"/>
                <w:sz w:val="18"/>
                <w:szCs w:val="18"/>
              </w:rPr>
              <w:t>4,4</w:t>
            </w:r>
          </w:p>
        </w:tc>
      </w:tr>
      <w:tr w:rsidR="008949E1" w:rsidRPr="00683B5E" w:rsidTr="001348D3">
        <w:trPr>
          <w:trHeight w:val="74"/>
        </w:trPr>
        <w:tc>
          <w:tcPr>
            <w:cnfStyle w:val="001000000000"/>
            <w:tcW w:w="4536" w:type="dxa"/>
            <w:gridSpan w:val="3"/>
            <w:tcBorders>
              <w:top w:val="single" w:sz="4" w:space="0" w:color="000000" w:themeColor="text1"/>
              <w:bottom w:val="nil"/>
            </w:tcBorders>
            <w:shd w:val="clear" w:color="auto" w:fill="auto"/>
            <w:vAlign w:val="center"/>
          </w:tcPr>
          <w:p w:rsidR="00A50DFC" w:rsidRDefault="00A50DFC" w:rsidP="00683B5E">
            <w:pPr>
              <w:widowControl w:val="0"/>
              <w:spacing w:before="0" w:after="0"/>
              <w:ind w:left="284" w:right="18"/>
              <w:rPr>
                <w:color w:val="auto"/>
                <w:kern w:val="24"/>
                <w:sz w:val="18"/>
                <w:szCs w:val="18"/>
              </w:rPr>
            </w:pPr>
            <w:r>
              <w:rPr>
                <w:color w:val="auto"/>
                <w:kern w:val="24"/>
                <w:sz w:val="18"/>
                <w:szCs w:val="18"/>
              </w:rPr>
              <w:t>MCK</w:t>
            </w:r>
          </w:p>
          <w:p w:rsidR="007A3E3F" w:rsidRPr="00683B5E" w:rsidRDefault="001348D3" w:rsidP="00683B5E">
            <w:pPr>
              <w:widowControl w:val="0"/>
              <w:spacing w:before="0" w:after="0"/>
              <w:ind w:left="284" w:right="18"/>
              <w:rPr>
                <w:color w:val="auto"/>
                <w:kern w:val="24"/>
                <w:sz w:val="18"/>
                <w:szCs w:val="18"/>
              </w:rPr>
            </w:pPr>
            <w:r>
              <w:rPr>
                <w:color w:val="auto"/>
                <w:kern w:val="24"/>
                <w:sz w:val="18"/>
                <w:szCs w:val="18"/>
              </w:rPr>
              <w:t>Mencuci Peralatan Rumah Tangga</w:t>
            </w:r>
          </w:p>
        </w:tc>
      </w:tr>
      <w:tr w:rsidR="008949E1" w:rsidRPr="00683B5E" w:rsidTr="00A50DFC">
        <w:trPr>
          <w:cnfStyle w:val="000000100000"/>
          <w:trHeight w:val="113"/>
        </w:trPr>
        <w:tc>
          <w:tcPr>
            <w:cnfStyle w:val="001000000000"/>
            <w:tcW w:w="1512" w:type="dxa"/>
            <w:tcBorders>
              <w:top w:val="nil"/>
            </w:tcBorders>
            <w:shd w:val="clear" w:color="auto" w:fill="auto"/>
            <w:vAlign w:val="center"/>
          </w:tcPr>
          <w:p w:rsidR="008949E1" w:rsidRPr="00A50DFC" w:rsidRDefault="00A50DFC" w:rsidP="00A50DFC">
            <w:pPr>
              <w:pStyle w:val="ListParagraph"/>
              <w:widowControl w:val="0"/>
              <w:spacing w:before="0" w:after="0"/>
              <w:ind w:left="0" w:right="18"/>
              <w:jc w:val="center"/>
              <w:rPr>
                <w:b w:val="0"/>
                <w:color w:val="auto"/>
                <w:kern w:val="24"/>
                <w:sz w:val="18"/>
                <w:szCs w:val="18"/>
              </w:rPr>
            </w:pPr>
            <w:r>
              <w:rPr>
                <w:b w:val="0"/>
                <w:color w:val="auto"/>
                <w:kern w:val="24"/>
                <w:sz w:val="18"/>
                <w:szCs w:val="18"/>
              </w:rPr>
              <w:t xml:space="preserve">Ya </w:t>
            </w:r>
          </w:p>
        </w:tc>
        <w:tc>
          <w:tcPr>
            <w:tcW w:w="1512" w:type="dxa"/>
            <w:tcBorders>
              <w:top w:val="nil"/>
            </w:tcBorders>
            <w:shd w:val="clear" w:color="auto" w:fill="auto"/>
            <w:vAlign w:val="center"/>
          </w:tcPr>
          <w:p w:rsidR="008949E1" w:rsidRPr="00683B5E" w:rsidRDefault="00A50DFC" w:rsidP="00683B5E">
            <w:pPr>
              <w:widowControl w:val="0"/>
              <w:tabs>
                <w:tab w:val="left" w:pos="195"/>
                <w:tab w:val="center" w:pos="1118"/>
              </w:tabs>
              <w:spacing w:before="0" w:after="0"/>
              <w:ind w:right="18"/>
              <w:jc w:val="center"/>
              <w:cnfStyle w:val="000000100000"/>
              <w:rPr>
                <w:color w:val="auto"/>
                <w:kern w:val="24"/>
                <w:sz w:val="18"/>
                <w:szCs w:val="18"/>
              </w:rPr>
            </w:pPr>
            <w:r>
              <w:rPr>
                <w:color w:val="auto"/>
                <w:kern w:val="24"/>
                <w:sz w:val="18"/>
                <w:szCs w:val="18"/>
              </w:rPr>
              <w:t>46</w:t>
            </w:r>
          </w:p>
        </w:tc>
        <w:tc>
          <w:tcPr>
            <w:tcW w:w="1512" w:type="dxa"/>
            <w:tcBorders>
              <w:top w:val="nil"/>
            </w:tcBorders>
            <w:shd w:val="clear" w:color="auto" w:fill="auto"/>
            <w:vAlign w:val="center"/>
          </w:tcPr>
          <w:p w:rsidR="008949E1" w:rsidRPr="00683B5E" w:rsidRDefault="00A50DFC" w:rsidP="00683B5E">
            <w:pPr>
              <w:widowControl w:val="0"/>
              <w:spacing w:before="0" w:after="0"/>
              <w:ind w:right="18"/>
              <w:jc w:val="center"/>
              <w:cnfStyle w:val="000000100000"/>
              <w:rPr>
                <w:color w:val="auto"/>
                <w:kern w:val="24"/>
                <w:sz w:val="18"/>
                <w:szCs w:val="18"/>
              </w:rPr>
            </w:pPr>
            <w:r>
              <w:rPr>
                <w:color w:val="auto"/>
                <w:kern w:val="24"/>
                <w:sz w:val="18"/>
                <w:szCs w:val="18"/>
              </w:rPr>
              <w:t>100</w:t>
            </w:r>
          </w:p>
        </w:tc>
      </w:tr>
      <w:tr w:rsidR="008949E1" w:rsidRPr="00683B5E" w:rsidTr="007E0132">
        <w:trPr>
          <w:trHeight w:val="201"/>
        </w:trPr>
        <w:tc>
          <w:tcPr>
            <w:cnfStyle w:val="001000000000"/>
            <w:tcW w:w="1512" w:type="dxa"/>
            <w:shd w:val="clear" w:color="auto" w:fill="auto"/>
            <w:vAlign w:val="center"/>
          </w:tcPr>
          <w:p w:rsidR="008949E1" w:rsidRPr="00A50DFC" w:rsidRDefault="00A50DFC" w:rsidP="00A50DFC">
            <w:pPr>
              <w:pStyle w:val="ListParagraph"/>
              <w:widowControl w:val="0"/>
              <w:spacing w:before="0" w:after="0"/>
              <w:ind w:left="0" w:right="18"/>
              <w:jc w:val="center"/>
              <w:rPr>
                <w:b w:val="0"/>
                <w:color w:val="auto"/>
                <w:kern w:val="24"/>
                <w:sz w:val="18"/>
                <w:szCs w:val="18"/>
              </w:rPr>
            </w:pPr>
            <w:r>
              <w:rPr>
                <w:b w:val="0"/>
                <w:color w:val="auto"/>
                <w:kern w:val="24"/>
                <w:sz w:val="18"/>
                <w:szCs w:val="18"/>
              </w:rPr>
              <w:t xml:space="preserve">Tidak </w:t>
            </w:r>
          </w:p>
        </w:tc>
        <w:tc>
          <w:tcPr>
            <w:tcW w:w="1512" w:type="dxa"/>
            <w:shd w:val="clear" w:color="auto" w:fill="auto"/>
            <w:vAlign w:val="center"/>
          </w:tcPr>
          <w:p w:rsidR="008949E1" w:rsidRPr="00683B5E" w:rsidRDefault="00A50DFC" w:rsidP="00683B5E">
            <w:pPr>
              <w:widowControl w:val="0"/>
              <w:spacing w:before="0" w:after="0"/>
              <w:ind w:right="18"/>
              <w:jc w:val="center"/>
              <w:cnfStyle w:val="000000000000"/>
              <w:rPr>
                <w:color w:val="auto"/>
                <w:kern w:val="24"/>
                <w:sz w:val="18"/>
                <w:szCs w:val="18"/>
              </w:rPr>
            </w:pPr>
            <w:r>
              <w:rPr>
                <w:color w:val="auto"/>
                <w:kern w:val="24"/>
                <w:sz w:val="18"/>
                <w:szCs w:val="18"/>
              </w:rPr>
              <w:t>0</w:t>
            </w:r>
          </w:p>
        </w:tc>
        <w:tc>
          <w:tcPr>
            <w:tcW w:w="1512" w:type="dxa"/>
            <w:shd w:val="clear" w:color="auto" w:fill="auto"/>
            <w:vAlign w:val="center"/>
          </w:tcPr>
          <w:p w:rsidR="008949E1" w:rsidRPr="00683B5E" w:rsidRDefault="00A50DFC" w:rsidP="00683B5E">
            <w:pPr>
              <w:widowControl w:val="0"/>
              <w:spacing w:before="0" w:after="0"/>
              <w:ind w:right="18"/>
              <w:jc w:val="center"/>
              <w:cnfStyle w:val="000000000000"/>
              <w:rPr>
                <w:color w:val="auto"/>
                <w:kern w:val="24"/>
                <w:sz w:val="18"/>
                <w:szCs w:val="18"/>
              </w:rPr>
            </w:pPr>
            <w:r>
              <w:rPr>
                <w:color w:val="auto"/>
                <w:kern w:val="24"/>
                <w:sz w:val="18"/>
                <w:szCs w:val="18"/>
              </w:rPr>
              <w:t>0</w:t>
            </w:r>
          </w:p>
        </w:tc>
      </w:tr>
      <w:tr w:rsidR="008949E1" w:rsidRPr="00683B5E" w:rsidTr="00994ED8">
        <w:trPr>
          <w:cnfStyle w:val="000000100000"/>
        </w:trPr>
        <w:tc>
          <w:tcPr>
            <w:cnfStyle w:val="001000000000"/>
            <w:tcW w:w="4536" w:type="dxa"/>
            <w:gridSpan w:val="3"/>
            <w:shd w:val="clear" w:color="auto" w:fill="auto"/>
            <w:vAlign w:val="center"/>
          </w:tcPr>
          <w:p w:rsidR="007A3E3F" w:rsidRPr="00683B5E" w:rsidRDefault="00A50DFC" w:rsidP="00A50DFC">
            <w:pPr>
              <w:widowControl w:val="0"/>
              <w:spacing w:before="0" w:after="0"/>
              <w:ind w:left="284" w:right="18"/>
              <w:rPr>
                <w:color w:val="auto"/>
                <w:kern w:val="24"/>
                <w:sz w:val="18"/>
                <w:szCs w:val="18"/>
              </w:rPr>
            </w:pPr>
            <w:r>
              <w:rPr>
                <w:color w:val="auto"/>
                <w:kern w:val="24"/>
                <w:sz w:val="18"/>
                <w:szCs w:val="18"/>
              </w:rPr>
              <w:t xml:space="preserve">Mandi </w:t>
            </w:r>
          </w:p>
        </w:tc>
      </w:tr>
      <w:tr w:rsidR="001361AE" w:rsidRPr="00683B5E" w:rsidTr="00A50DFC">
        <w:trPr>
          <w:trHeight w:val="74"/>
        </w:trPr>
        <w:tc>
          <w:tcPr>
            <w:cnfStyle w:val="001000000000"/>
            <w:tcW w:w="1512" w:type="dxa"/>
            <w:shd w:val="clear" w:color="auto" w:fill="auto"/>
            <w:vAlign w:val="center"/>
          </w:tcPr>
          <w:p w:rsidR="001361AE" w:rsidRPr="00A50DFC" w:rsidRDefault="00A50DFC" w:rsidP="00A50DFC">
            <w:pPr>
              <w:pStyle w:val="ListParagraph"/>
              <w:widowControl w:val="0"/>
              <w:spacing w:before="0" w:after="0"/>
              <w:ind w:left="0"/>
              <w:jc w:val="center"/>
              <w:rPr>
                <w:b w:val="0"/>
                <w:color w:val="auto"/>
                <w:kern w:val="24"/>
                <w:sz w:val="18"/>
                <w:szCs w:val="18"/>
              </w:rPr>
            </w:pPr>
            <w:r>
              <w:rPr>
                <w:b w:val="0"/>
                <w:color w:val="auto"/>
                <w:kern w:val="24"/>
                <w:sz w:val="18"/>
                <w:szCs w:val="18"/>
              </w:rPr>
              <w:t xml:space="preserve">Ya </w:t>
            </w:r>
          </w:p>
        </w:tc>
        <w:tc>
          <w:tcPr>
            <w:tcW w:w="1512" w:type="dxa"/>
            <w:shd w:val="clear" w:color="auto" w:fill="auto"/>
            <w:vAlign w:val="center"/>
          </w:tcPr>
          <w:p w:rsidR="001361AE" w:rsidRPr="00683B5E" w:rsidRDefault="00A50DFC" w:rsidP="00A50DFC">
            <w:pPr>
              <w:widowControl w:val="0"/>
              <w:tabs>
                <w:tab w:val="left" w:pos="195"/>
                <w:tab w:val="center" w:pos="1118"/>
              </w:tabs>
              <w:spacing w:before="0" w:after="0"/>
              <w:ind w:right="18"/>
              <w:jc w:val="center"/>
              <w:cnfStyle w:val="000000000000"/>
              <w:rPr>
                <w:color w:val="auto"/>
                <w:kern w:val="24"/>
                <w:sz w:val="18"/>
                <w:szCs w:val="18"/>
              </w:rPr>
            </w:pPr>
            <w:r>
              <w:rPr>
                <w:color w:val="auto"/>
                <w:kern w:val="24"/>
                <w:sz w:val="18"/>
                <w:szCs w:val="18"/>
              </w:rPr>
              <w:t>46</w:t>
            </w:r>
          </w:p>
        </w:tc>
        <w:tc>
          <w:tcPr>
            <w:tcW w:w="1512" w:type="dxa"/>
            <w:shd w:val="clear" w:color="auto" w:fill="auto"/>
            <w:vAlign w:val="center"/>
          </w:tcPr>
          <w:p w:rsidR="001361AE" w:rsidRPr="00683B5E" w:rsidRDefault="00A50DFC" w:rsidP="00683B5E">
            <w:pPr>
              <w:widowControl w:val="0"/>
              <w:spacing w:before="0" w:after="0"/>
              <w:ind w:right="18"/>
              <w:jc w:val="center"/>
              <w:cnfStyle w:val="000000000000"/>
              <w:rPr>
                <w:color w:val="auto"/>
                <w:kern w:val="24"/>
                <w:sz w:val="18"/>
                <w:szCs w:val="18"/>
              </w:rPr>
            </w:pPr>
            <w:r>
              <w:rPr>
                <w:color w:val="auto"/>
                <w:kern w:val="24"/>
                <w:sz w:val="18"/>
                <w:szCs w:val="18"/>
              </w:rPr>
              <w:t>100</w:t>
            </w:r>
          </w:p>
        </w:tc>
      </w:tr>
      <w:tr w:rsidR="001361AE" w:rsidRPr="00683B5E" w:rsidTr="007E0132">
        <w:trPr>
          <w:cnfStyle w:val="000000100000"/>
          <w:trHeight w:val="155"/>
        </w:trPr>
        <w:tc>
          <w:tcPr>
            <w:cnfStyle w:val="001000000000"/>
            <w:tcW w:w="1512" w:type="dxa"/>
            <w:shd w:val="clear" w:color="auto" w:fill="auto"/>
            <w:vAlign w:val="center"/>
          </w:tcPr>
          <w:p w:rsidR="001361AE" w:rsidRPr="00A50DFC" w:rsidRDefault="00A50DFC" w:rsidP="00A50DFC">
            <w:pPr>
              <w:pStyle w:val="ListParagraph"/>
              <w:widowControl w:val="0"/>
              <w:spacing w:before="0" w:after="0"/>
              <w:ind w:left="0"/>
              <w:jc w:val="center"/>
              <w:rPr>
                <w:b w:val="0"/>
                <w:color w:val="auto"/>
                <w:kern w:val="24"/>
                <w:sz w:val="18"/>
                <w:szCs w:val="18"/>
              </w:rPr>
            </w:pPr>
            <w:r>
              <w:rPr>
                <w:b w:val="0"/>
                <w:color w:val="auto"/>
                <w:kern w:val="24"/>
                <w:sz w:val="18"/>
                <w:szCs w:val="18"/>
              </w:rPr>
              <w:t>Tidak</w:t>
            </w:r>
          </w:p>
        </w:tc>
        <w:tc>
          <w:tcPr>
            <w:tcW w:w="1512" w:type="dxa"/>
            <w:shd w:val="clear" w:color="auto" w:fill="auto"/>
            <w:vAlign w:val="center"/>
          </w:tcPr>
          <w:p w:rsidR="001361AE" w:rsidRPr="00683B5E" w:rsidRDefault="00A50DFC" w:rsidP="00A50DFC">
            <w:pPr>
              <w:widowControl w:val="0"/>
              <w:spacing w:before="0" w:after="0"/>
              <w:ind w:right="18"/>
              <w:jc w:val="center"/>
              <w:cnfStyle w:val="000000100000"/>
              <w:rPr>
                <w:color w:val="auto"/>
                <w:kern w:val="24"/>
                <w:sz w:val="18"/>
                <w:szCs w:val="18"/>
              </w:rPr>
            </w:pPr>
            <w:r>
              <w:rPr>
                <w:color w:val="auto"/>
                <w:kern w:val="24"/>
                <w:sz w:val="18"/>
                <w:szCs w:val="18"/>
              </w:rPr>
              <w:t>0</w:t>
            </w:r>
          </w:p>
        </w:tc>
        <w:tc>
          <w:tcPr>
            <w:tcW w:w="1512" w:type="dxa"/>
            <w:shd w:val="clear" w:color="auto" w:fill="auto"/>
            <w:vAlign w:val="center"/>
          </w:tcPr>
          <w:p w:rsidR="001361AE" w:rsidRPr="00683B5E" w:rsidRDefault="00A50DFC" w:rsidP="00683B5E">
            <w:pPr>
              <w:widowControl w:val="0"/>
              <w:spacing w:before="0" w:after="0"/>
              <w:ind w:right="18"/>
              <w:jc w:val="center"/>
              <w:cnfStyle w:val="000000100000"/>
              <w:rPr>
                <w:color w:val="auto"/>
                <w:kern w:val="24"/>
                <w:sz w:val="18"/>
                <w:szCs w:val="18"/>
              </w:rPr>
            </w:pPr>
            <w:r>
              <w:rPr>
                <w:color w:val="auto"/>
                <w:kern w:val="24"/>
                <w:sz w:val="18"/>
                <w:szCs w:val="18"/>
              </w:rPr>
              <w:t>0</w:t>
            </w:r>
          </w:p>
        </w:tc>
      </w:tr>
      <w:tr w:rsidR="008949E1" w:rsidRPr="00683B5E" w:rsidTr="00994ED8">
        <w:tc>
          <w:tcPr>
            <w:cnfStyle w:val="001000000000"/>
            <w:tcW w:w="4536" w:type="dxa"/>
            <w:gridSpan w:val="3"/>
            <w:shd w:val="clear" w:color="auto" w:fill="auto"/>
            <w:vAlign w:val="center"/>
          </w:tcPr>
          <w:p w:rsidR="007A3E3F" w:rsidRPr="00683B5E" w:rsidRDefault="00A50DFC" w:rsidP="00683B5E">
            <w:pPr>
              <w:widowControl w:val="0"/>
              <w:spacing w:before="0" w:after="0"/>
              <w:ind w:left="284" w:right="18"/>
              <w:rPr>
                <w:color w:val="auto"/>
                <w:kern w:val="24"/>
                <w:sz w:val="18"/>
                <w:szCs w:val="18"/>
              </w:rPr>
            </w:pPr>
            <w:r>
              <w:rPr>
                <w:color w:val="auto"/>
                <w:kern w:val="24"/>
                <w:sz w:val="18"/>
                <w:szCs w:val="18"/>
              </w:rPr>
              <w:t>Mencuci Pakaian</w:t>
            </w:r>
          </w:p>
        </w:tc>
      </w:tr>
      <w:tr w:rsidR="001361AE" w:rsidRPr="00683B5E" w:rsidTr="00994ED8">
        <w:trPr>
          <w:cnfStyle w:val="000000100000"/>
        </w:trPr>
        <w:tc>
          <w:tcPr>
            <w:cnfStyle w:val="001000000000"/>
            <w:tcW w:w="1512" w:type="dxa"/>
            <w:shd w:val="clear" w:color="auto" w:fill="auto"/>
            <w:vAlign w:val="center"/>
          </w:tcPr>
          <w:p w:rsidR="001361AE" w:rsidRPr="007E0132" w:rsidRDefault="007E0132" w:rsidP="00683B5E">
            <w:pPr>
              <w:pStyle w:val="ListParagraph"/>
              <w:widowControl w:val="0"/>
              <w:spacing w:before="0" w:after="0"/>
              <w:ind w:left="0" w:right="18"/>
              <w:jc w:val="center"/>
              <w:rPr>
                <w:b w:val="0"/>
                <w:color w:val="auto"/>
                <w:kern w:val="24"/>
                <w:sz w:val="18"/>
                <w:szCs w:val="18"/>
              </w:rPr>
            </w:pPr>
            <w:r>
              <w:rPr>
                <w:b w:val="0"/>
                <w:color w:val="auto"/>
                <w:kern w:val="24"/>
                <w:sz w:val="18"/>
                <w:szCs w:val="18"/>
              </w:rPr>
              <w:t>Ya</w:t>
            </w:r>
          </w:p>
        </w:tc>
        <w:tc>
          <w:tcPr>
            <w:tcW w:w="1512" w:type="dxa"/>
            <w:shd w:val="clear" w:color="auto" w:fill="auto"/>
            <w:vAlign w:val="center"/>
          </w:tcPr>
          <w:p w:rsidR="001361AE" w:rsidRPr="007E0132" w:rsidRDefault="001361AE" w:rsidP="00683B5E">
            <w:pPr>
              <w:widowControl w:val="0"/>
              <w:tabs>
                <w:tab w:val="left" w:pos="195"/>
                <w:tab w:val="center" w:pos="1118"/>
              </w:tabs>
              <w:spacing w:before="0" w:after="0"/>
              <w:ind w:right="18"/>
              <w:jc w:val="center"/>
              <w:cnfStyle w:val="000000100000"/>
              <w:rPr>
                <w:color w:val="auto"/>
                <w:kern w:val="24"/>
                <w:sz w:val="18"/>
                <w:szCs w:val="18"/>
              </w:rPr>
            </w:pPr>
            <w:r w:rsidRPr="00683B5E">
              <w:rPr>
                <w:color w:val="auto"/>
                <w:kern w:val="24"/>
                <w:sz w:val="18"/>
                <w:szCs w:val="18"/>
                <w:lang w:val="id-ID"/>
              </w:rPr>
              <w:t>2</w:t>
            </w:r>
            <w:r w:rsidR="007E0132">
              <w:rPr>
                <w:color w:val="auto"/>
                <w:kern w:val="24"/>
                <w:sz w:val="18"/>
                <w:szCs w:val="18"/>
              </w:rPr>
              <w:t>7</w:t>
            </w:r>
          </w:p>
        </w:tc>
        <w:tc>
          <w:tcPr>
            <w:tcW w:w="1512" w:type="dxa"/>
            <w:shd w:val="clear" w:color="auto" w:fill="auto"/>
            <w:vAlign w:val="center"/>
          </w:tcPr>
          <w:p w:rsidR="001361AE" w:rsidRPr="007E0132" w:rsidRDefault="007E0132" w:rsidP="00683B5E">
            <w:pPr>
              <w:widowControl w:val="0"/>
              <w:spacing w:before="0" w:after="0"/>
              <w:ind w:right="18"/>
              <w:jc w:val="center"/>
              <w:cnfStyle w:val="000000100000"/>
              <w:rPr>
                <w:color w:val="auto"/>
                <w:kern w:val="24"/>
                <w:sz w:val="18"/>
                <w:szCs w:val="18"/>
              </w:rPr>
            </w:pPr>
            <w:r>
              <w:rPr>
                <w:color w:val="auto"/>
                <w:kern w:val="24"/>
                <w:sz w:val="18"/>
                <w:szCs w:val="18"/>
                <w:lang w:val="id-ID"/>
              </w:rPr>
              <w:t>5</w:t>
            </w:r>
            <w:r>
              <w:rPr>
                <w:color w:val="auto"/>
                <w:kern w:val="24"/>
                <w:sz w:val="18"/>
                <w:szCs w:val="18"/>
              </w:rPr>
              <w:t>8</w:t>
            </w:r>
            <w:r w:rsidR="001361AE" w:rsidRPr="00683B5E">
              <w:rPr>
                <w:color w:val="auto"/>
                <w:kern w:val="24"/>
                <w:sz w:val="18"/>
                <w:szCs w:val="18"/>
                <w:lang w:val="id-ID"/>
              </w:rPr>
              <w:t>,</w:t>
            </w:r>
            <w:r>
              <w:rPr>
                <w:color w:val="auto"/>
                <w:kern w:val="24"/>
                <w:sz w:val="18"/>
                <w:szCs w:val="18"/>
              </w:rPr>
              <w:t>7</w:t>
            </w:r>
          </w:p>
        </w:tc>
      </w:tr>
      <w:tr w:rsidR="001361AE" w:rsidRPr="00683B5E" w:rsidTr="00994ED8">
        <w:tc>
          <w:tcPr>
            <w:cnfStyle w:val="001000000000"/>
            <w:tcW w:w="1512" w:type="dxa"/>
            <w:shd w:val="clear" w:color="auto" w:fill="auto"/>
            <w:vAlign w:val="center"/>
          </w:tcPr>
          <w:p w:rsidR="001361AE" w:rsidRPr="007E0132" w:rsidRDefault="001361AE" w:rsidP="00683B5E">
            <w:pPr>
              <w:pStyle w:val="ListParagraph"/>
              <w:widowControl w:val="0"/>
              <w:spacing w:before="0" w:after="0"/>
              <w:ind w:left="0" w:right="18"/>
              <w:jc w:val="center"/>
              <w:rPr>
                <w:b w:val="0"/>
                <w:color w:val="auto"/>
                <w:kern w:val="24"/>
                <w:sz w:val="18"/>
                <w:szCs w:val="18"/>
              </w:rPr>
            </w:pPr>
            <w:r w:rsidRPr="00683B5E">
              <w:rPr>
                <w:b w:val="0"/>
                <w:color w:val="auto"/>
                <w:kern w:val="24"/>
                <w:sz w:val="18"/>
                <w:szCs w:val="18"/>
                <w:lang w:val="id-ID"/>
              </w:rPr>
              <w:t>Tidak</w:t>
            </w:r>
          </w:p>
        </w:tc>
        <w:tc>
          <w:tcPr>
            <w:tcW w:w="1512" w:type="dxa"/>
            <w:shd w:val="clear" w:color="auto" w:fill="auto"/>
            <w:vAlign w:val="center"/>
          </w:tcPr>
          <w:p w:rsidR="001361AE" w:rsidRPr="007E0132" w:rsidRDefault="007E0132" w:rsidP="00683B5E">
            <w:pPr>
              <w:widowControl w:val="0"/>
              <w:spacing w:before="0" w:after="0"/>
              <w:ind w:right="18"/>
              <w:jc w:val="center"/>
              <w:cnfStyle w:val="000000000000"/>
              <w:rPr>
                <w:color w:val="auto"/>
                <w:kern w:val="24"/>
                <w:sz w:val="18"/>
                <w:szCs w:val="18"/>
              </w:rPr>
            </w:pPr>
            <w:r>
              <w:rPr>
                <w:color w:val="auto"/>
                <w:kern w:val="24"/>
                <w:sz w:val="18"/>
                <w:szCs w:val="18"/>
              </w:rPr>
              <w:t>19</w:t>
            </w:r>
          </w:p>
        </w:tc>
        <w:tc>
          <w:tcPr>
            <w:tcW w:w="1512" w:type="dxa"/>
            <w:shd w:val="clear" w:color="auto" w:fill="auto"/>
            <w:vAlign w:val="center"/>
          </w:tcPr>
          <w:p w:rsidR="001361AE" w:rsidRPr="007E0132" w:rsidRDefault="007E0132" w:rsidP="00683B5E">
            <w:pPr>
              <w:widowControl w:val="0"/>
              <w:spacing w:before="0" w:after="0"/>
              <w:ind w:right="18"/>
              <w:jc w:val="center"/>
              <w:cnfStyle w:val="000000000000"/>
              <w:rPr>
                <w:color w:val="auto"/>
                <w:kern w:val="24"/>
                <w:sz w:val="18"/>
                <w:szCs w:val="18"/>
              </w:rPr>
            </w:pPr>
            <w:r>
              <w:rPr>
                <w:color w:val="auto"/>
                <w:kern w:val="24"/>
                <w:sz w:val="18"/>
                <w:szCs w:val="18"/>
                <w:lang w:val="id-ID"/>
              </w:rPr>
              <w:t>41</w:t>
            </w:r>
            <w:r w:rsidR="001361AE" w:rsidRPr="00683B5E">
              <w:rPr>
                <w:color w:val="auto"/>
                <w:kern w:val="24"/>
                <w:sz w:val="18"/>
                <w:szCs w:val="18"/>
                <w:lang w:val="id-ID"/>
              </w:rPr>
              <w:t>,</w:t>
            </w:r>
            <w:r>
              <w:rPr>
                <w:color w:val="auto"/>
                <w:kern w:val="24"/>
                <w:sz w:val="18"/>
                <w:szCs w:val="18"/>
              </w:rPr>
              <w:t>3</w:t>
            </w:r>
          </w:p>
        </w:tc>
      </w:tr>
      <w:tr w:rsidR="00BD4D2E" w:rsidRPr="00683B5E" w:rsidTr="00994ED8">
        <w:trPr>
          <w:cnfStyle w:val="000000100000"/>
        </w:trPr>
        <w:tc>
          <w:tcPr>
            <w:cnfStyle w:val="001000000000"/>
            <w:tcW w:w="1512" w:type="dxa"/>
            <w:shd w:val="clear" w:color="auto" w:fill="auto"/>
            <w:vAlign w:val="center"/>
          </w:tcPr>
          <w:p w:rsidR="00BD4D2E" w:rsidRPr="00683B5E" w:rsidRDefault="004C0E8A" w:rsidP="00683B5E">
            <w:pPr>
              <w:pStyle w:val="ListParagraph"/>
              <w:widowControl w:val="0"/>
              <w:spacing w:before="0" w:after="0"/>
              <w:ind w:left="284" w:right="18"/>
              <w:rPr>
                <w:color w:val="auto"/>
                <w:kern w:val="24"/>
                <w:sz w:val="18"/>
                <w:szCs w:val="18"/>
              </w:rPr>
            </w:pPr>
            <w:r w:rsidRPr="004C0E8A">
              <w:rPr>
                <w:noProof/>
                <w:kern w:val="24"/>
                <w:sz w:val="18"/>
                <w:szCs w:val="18"/>
              </w:rPr>
              <w:pict>
                <v:shape id="_x0000_s1033" type="#_x0000_t32" style="position:absolute;left:0;text-align:left;margin-left:-5.25pt;margin-top:.4pt;width:225.45pt;height:0;z-index:251664384;mso-position-horizontal-relative:text;mso-position-vertical-relative:text" o:connectortype="straight"/>
              </w:pict>
            </w:r>
            <w:r w:rsidR="007E0132">
              <w:rPr>
                <w:color w:val="auto"/>
                <w:kern w:val="24"/>
                <w:sz w:val="18"/>
                <w:szCs w:val="18"/>
              </w:rPr>
              <w:t>Status Kesehatan</w:t>
            </w:r>
          </w:p>
        </w:tc>
        <w:tc>
          <w:tcPr>
            <w:tcW w:w="1512" w:type="dxa"/>
            <w:shd w:val="clear" w:color="auto" w:fill="auto"/>
            <w:vAlign w:val="center"/>
          </w:tcPr>
          <w:p w:rsidR="00BD4D2E" w:rsidRPr="00683B5E" w:rsidRDefault="00BD4D2E" w:rsidP="00683B5E">
            <w:pPr>
              <w:widowControl w:val="0"/>
              <w:spacing w:before="0" w:after="0"/>
              <w:ind w:right="18"/>
              <w:jc w:val="center"/>
              <w:cnfStyle w:val="000000100000"/>
              <w:rPr>
                <w:color w:val="auto"/>
                <w:kern w:val="24"/>
                <w:sz w:val="18"/>
                <w:szCs w:val="18"/>
              </w:rPr>
            </w:pPr>
          </w:p>
          <w:p w:rsidR="007A3E3F" w:rsidRPr="00683B5E" w:rsidRDefault="007A3E3F" w:rsidP="00683B5E">
            <w:pPr>
              <w:widowControl w:val="0"/>
              <w:spacing w:before="0" w:after="0"/>
              <w:ind w:right="18"/>
              <w:jc w:val="center"/>
              <w:cnfStyle w:val="000000100000"/>
              <w:rPr>
                <w:color w:val="auto"/>
                <w:kern w:val="24"/>
                <w:sz w:val="18"/>
                <w:szCs w:val="18"/>
              </w:rPr>
            </w:pPr>
          </w:p>
        </w:tc>
        <w:tc>
          <w:tcPr>
            <w:tcW w:w="1512" w:type="dxa"/>
            <w:shd w:val="clear" w:color="auto" w:fill="auto"/>
            <w:vAlign w:val="center"/>
          </w:tcPr>
          <w:p w:rsidR="00BD4D2E" w:rsidRPr="00683B5E" w:rsidRDefault="00BD4D2E" w:rsidP="00683B5E">
            <w:pPr>
              <w:widowControl w:val="0"/>
              <w:spacing w:before="0" w:after="0"/>
              <w:ind w:right="18"/>
              <w:jc w:val="center"/>
              <w:cnfStyle w:val="000000100000"/>
              <w:rPr>
                <w:color w:val="auto"/>
                <w:kern w:val="24"/>
                <w:sz w:val="18"/>
                <w:szCs w:val="18"/>
                <w:lang w:val="id-ID"/>
              </w:rPr>
            </w:pPr>
          </w:p>
        </w:tc>
      </w:tr>
      <w:tr w:rsidR="007A3E3F" w:rsidRPr="00683B5E" w:rsidTr="00994ED8">
        <w:tc>
          <w:tcPr>
            <w:cnfStyle w:val="001000000000"/>
            <w:tcW w:w="1512" w:type="dxa"/>
            <w:shd w:val="clear" w:color="auto" w:fill="auto"/>
            <w:vAlign w:val="center"/>
          </w:tcPr>
          <w:p w:rsidR="007A3E3F" w:rsidRPr="007E0132" w:rsidRDefault="007E0132" w:rsidP="00683B5E">
            <w:pPr>
              <w:pStyle w:val="ListParagraph"/>
              <w:widowControl w:val="0"/>
              <w:spacing w:before="0" w:after="0"/>
              <w:ind w:left="0" w:right="18"/>
              <w:jc w:val="center"/>
              <w:rPr>
                <w:b w:val="0"/>
                <w:color w:val="auto"/>
                <w:kern w:val="24"/>
                <w:sz w:val="18"/>
                <w:szCs w:val="18"/>
              </w:rPr>
            </w:pPr>
            <w:r>
              <w:rPr>
                <w:b w:val="0"/>
                <w:color w:val="auto"/>
                <w:kern w:val="24"/>
                <w:sz w:val="18"/>
                <w:szCs w:val="18"/>
              </w:rPr>
              <w:t xml:space="preserve">ya  </w:t>
            </w:r>
          </w:p>
        </w:tc>
        <w:tc>
          <w:tcPr>
            <w:tcW w:w="1512" w:type="dxa"/>
            <w:shd w:val="clear" w:color="auto" w:fill="auto"/>
            <w:vAlign w:val="center"/>
          </w:tcPr>
          <w:p w:rsidR="007A3E3F" w:rsidRPr="007E0132" w:rsidRDefault="007E0132" w:rsidP="00683B5E">
            <w:pPr>
              <w:widowControl w:val="0"/>
              <w:tabs>
                <w:tab w:val="left" w:pos="195"/>
                <w:tab w:val="center" w:pos="1118"/>
              </w:tabs>
              <w:spacing w:before="0" w:after="0"/>
              <w:ind w:right="18"/>
              <w:jc w:val="center"/>
              <w:cnfStyle w:val="000000000000"/>
              <w:rPr>
                <w:color w:val="auto"/>
                <w:kern w:val="24"/>
                <w:sz w:val="18"/>
                <w:szCs w:val="18"/>
              </w:rPr>
            </w:pPr>
            <w:r>
              <w:rPr>
                <w:color w:val="auto"/>
                <w:kern w:val="24"/>
                <w:sz w:val="18"/>
                <w:szCs w:val="18"/>
              </w:rPr>
              <w:t>20</w:t>
            </w:r>
          </w:p>
        </w:tc>
        <w:tc>
          <w:tcPr>
            <w:tcW w:w="1512" w:type="dxa"/>
            <w:shd w:val="clear" w:color="auto" w:fill="auto"/>
            <w:vAlign w:val="center"/>
          </w:tcPr>
          <w:p w:rsidR="007A3E3F" w:rsidRPr="007E0132" w:rsidRDefault="007E0132" w:rsidP="00683B5E">
            <w:pPr>
              <w:widowControl w:val="0"/>
              <w:spacing w:before="0" w:after="0"/>
              <w:ind w:right="18"/>
              <w:jc w:val="center"/>
              <w:cnfStyle w:val="000000000000"/>
              <w:rPr>
                <w:color w:val="auto"/>
                <w:kern w:val="24"/>
                <w:sz w:val="18"/>
                <w:szCs w:val="18"/>
              </w:rPr>
            </w:pPr>
            <w:r>
              <w:rPr>
                <w:color w:val="auto"/>
                <w:kern w:val="24"/>
                <w:sz w:val="18"/>
                <w:szCs w:val="18"/>
              </w:rPr>
              <w:t>43,5</w:t>
            </w:r>
          </w:p>
        </w:tc>
      </w:tr>
      <w:tr w:rsidR="007A3E3F" w:rsidRPr="00683B5E" w:rsidTr="00A50DFC">
        <w:trPr>
          <w:cnfStyle w:val="000000100000"/>
          <w:trHeight w:val="151"/>
        </w:trPr>
        <w:tc>
          <w:tcPr>
            <w:cnfStyle w:val="001000000000"/>
            <w:tcW w:w="1512" w:type="dxa"/>
            <w:shd w:val="clear" w:color="auto" w:fill="auto"/>
            <w:vAlign w:val="center"/>
          </w:tcPr>
          <w:p w:rsidR="007A3E3F" w:rsidRPr="007E0132" w:rsidRDefault="007A3E3F" w:rsidP="00683B5E">
            <w:pPr>
              <w:pStyle w:val="ListParagraph"/>
              <w:widowControl w:val="0"/>
              <w:spacing w:before="0" w:after="0"/>
              <w:ind w:left="0" w:right="18"/>
              <w:jc w:val="center"/>
              <w:rPr>
                <w:b w:val="0"/>
                <w:color w:val="auto"/>
                <w:kern w:val="24"/>
                <w:sz w:val="18"/>
                <w:szCs w:val="18"/>
              </w:rPr>
            </w:pPr>
            <w:r w:rsidRPr="00683B5E">
              <w:rPr>
                <w:b w:val="0"/>
                <w:color w:val="auto"/>
                <w:kern w:val="24"/>
                <w:sz w:val="18"/>
                <w:szCs w:val="18"/>
                <w:lang w:val="id-ID"/>
              </w:rPr>
              <w:t>Tidak</w:t>
            </w:r>
          </w:p>
        </w:tc>
        <w:tc>
          <w:tcPr>
            <w:tcW w:w="1512" w:type="dxa"/>
            <w:shd w:val="clear" w:color="auto" w:fill="auto"/>
            <w:vAlign w:val="center"/>
          </w:tcPr>
          <w:p w:rsidR="007A3E3F" w:rsidRPr="007E0132" w:rsidRDefault="007A3E3F" w:rsidP="00683B5E">
            <w:pPr>
              <w:widowControl w:val="0"/>
              <w:spacing w:before="0" w:after="0"/>
              <w:ind w:right="18"/>
              <w:jc w:val="center"/>
              <w:cnfStyle w:val="000000100000"/>
              <w:rPr>
                <w:color w:val="auto"/>
                <w:kern w:val="24"/>
                <w:sz w:val="18"/>
                <w:szCs w:val="18"/>
              </w:rPr>
            </w:pPr>
            <w:r w:rsidRPr="00683B5E">
              <w:rPr>
                <w:color w:val="auto"/>
                <w:kern w:val="24"/>
                <w:sz w:val="18"/>
                <w:szCs w:val="18"/>
                <w:lang w:val="id-ID"/>
              </w:rPr>
              <w:t>2</w:t>
            </w:r>
            <w:r w:rsidR="007E0132">
              <w:rPr>
                <w:color w:val="auto"/>
                <w:kern w:val="24"/>
                <w:sz w:val="18"/>
                <w:szCs w:val="18"/>
              </w:rPr>
              <w:t>6</w:t>
            </w:r>
          </w:p>
        </w:tc>
        <w:tc>
          <w:tcPr>
            <w:tcW w:w="1512" w:type="dxa"/>
            <w:shd w:val="clear" w:color="auto" w:fill="auto"/>
            <w:vAlign w:val="center"/>
          </w:tcPr>
          <w:p w:rsidR="007A3E3F" w:rsidRPr="007E0132" w:rsidRDefault="007E0132" w:rsidP="00683B5E">
            <w:pPr>
              <w:widowControl w:val="0"/>
              <w:spacing w:before="0" w:after="0"/>
              <w:ind w:right="18"/>
              <w:jc w:val="center"/>
              <w:cnfStyle w:val="000000100000"/>
              <w:rPr>
                <w:color w:val="auto"/>
                <w:kern w:val="24"/>
                <w:sz w:val="18"/>
                <w:szCs w:val="18"/>
              </w:rPr>
            </w:pPr>
            <w:r>
              <w:rPr>
                <w:color w:val="auto"/>
                <w:kern w:val="24"/>
                <w:sz w:val="18"/>
                <w:szCs w:val="18"/>
              </w:rPr>
              <w:t>56,5</w:t>
            </w:r>
          </w:p>
        </w:tc>
      </w:tr>
    </w:tbl>
    <w:p w:rsidR="008949E1" w:rsidRPr="004D1353" w:rsidRDefault="007A3E3F" w:rsidP="004D1353">
      <w:pPr>
        <w:spacing w:before="0" w:after="0"/>
        <w:rPr>
          <w:i/>
          <w:kern w:val="24"/>
          <w:sz w:val="18"/>
          <w:szCs w:val="18"/>
        </w:rPr>
      </w:pPr>
      <w:r w:rsidRPr="00AB5AA5">
        <w:rPr>
          <w:i/>
          <w:kern w:val="24"/>
          <w:sz w:val="18"/>
          <w:szCs w:val="18"/>
          <w:lang w:val="id-ID"/>
        </w:rPr>
        <w:t>Sumber : Data Primer 2015</w:t>
      </w:r>
    </w:p>
    <w:p w:rsidR="00937201" w:rsidRDefault="007E0132" w:rsidP="00AA0DC3">
      <w:pPr>
        <w:widowControl w:val="0"/>
        <w:spacing w:after="0"/>
        <w:ind w:right="18"/>
        <w:rPr>
          <w:rFonts w:eastAsia="TimesNewRoman"/>
        </w:rPr>
      </w:pPr>
      <w:r>
        <w:rPr>
          <w:color w:val="000000" w:themeColor="text1"/>
          <w:kern w:val="24"/>
        </w:rPr>
        <w:t xml:space="preserve">95,6% </w:t>
      </w:r>
      <w:r>
        <w:rPr>
          <w:color w:val="000000" w:themeColor="text1"/>
          <w:kern w:val="24"/>
          <w:lang w:val="id-ID"/>
        </w:rPr>
        <w:t xml:space="preserve">responden </w:t>
      </w:r>
      <w:r>
        <w:rPr>
          <w:color w:val="000000" w:themeColor="text1"/>
          <w:kern w:val="24"/>
        </w:rPr>
        <w:t xml:space="preserve">masih menggunakan air sumur sebagai sumber air mereka dan 100% responden juga memanfaatkan air sumur sebagai sumber untuk MCK. Hanya kegiatan mencuci pakaian yang </w:t>
      </w:r>
      <w:r w:rsidR="00937201">
        <w:rPr>
          <w:color w:val="000000" w:themeColor="text1"/>
          <w:kern w:val="24"/>
        </w:rPr>
        <w:t xml:space="preserve">tidak sepenuhhnya menggunakan air sumur karena 41,3% responden menggunakan jasa laundry untuk mencuci pakaian. </w:t>
      </w:r>
      <w:r w:rsidR="00937201" w:rsidRPr="00937201">
        <w:rPr>
          <w:rFonts w:eastAsia="TimesNewRoman"/>
        </w:rPr>
        <w:t>43,5% responden juga pernah menderita sakit dalam 3 bulan terakhir diantaranya yaitu diare dan penyakit kulit/jamur.</w:t>
      </w:r>
    </w:p>
    <w:p w:rsidR="00937201" w:rsidRDefault="00937201" w:rsidP="00AA0DC3">
      <w:pPr>
        <w:widowControl w:val="0"/>
        <w:spacing w:after="0"/>
        <w:ind w:right="18"/>
        <w:rPr>
          <w:b/>
          <w:sz w:val="24"/>
          <w:szCs w:val="24"/>
        </w:rPr>
      </w:pPr>
      <w:r w:rsidRPr="00342CB2">
        <w:rPr>
          <w:b/>
          <w:sz w:val="24"/>
          <w:szCs w:val="24"/>
        </w:rPr>
        <w:t>Gambaran Fisik Kualitas Air Sumur Gali Masyarakat Sekitar TPA</w:t>
      </w:r>
    </w:p>
    <w:p w:rsidR="00937201" w:rsidRDefault="00937201" w:rsidP="00937201">
      <w:pPr>
        <w:tabs>
          <w:tab w:val="left" w:pos="540"/>
        </w:tabs>
        <w:autoSpaceDE w:val="0"/>
        <w:autoSpaceDN w:val="0"/>
        <w:adjustRightInd w:val="0"/>
        <w:spacing w:before="0" w:after="0"/>
      </w:pPr>
    </w:p>
    <w:p w:rsidR="00937201" w:rsidRPr="003C0D4C" w:rsidRDefault="00937201" w:rsidP="002B340F">
      <w:pPr>
        <w:tabs>
          <w:tab w:val="left" w:pos="540"/>
        </w:tabs>
        <w:autoSpaceDE w:val="0"/>
        <w:autoSpaceDN w:val="0"/>
        <w:adjustRightInd w:val="0"/>
        <w:spacing w:before="0" w:after="0"/>
        <w:rPr>
          <w:b/>
          <w:lang w:val="id-ID"/>
        </w:rPr>
      </w:pPr>
      <w:r w:rsidRPr="00937201">
        <w:t>Dar</w:t>
      </w:r>
      <w:r>
        <w:t>i hasil penelitian h</w:t>
      </w:r>
      <w:r w:rsidRPr="00937201">
        <w:t>anya pH air yang menunjukkan angka di bawah ambang batas kecuali pada sampel A, sementara parameter kekeruhan, BOD</w:t>
      </w:r>
      <w:r w:rsidRPr="00937201">
        <w:rPr>
          <w:vertAlign w:val="subscript"/>
        </w:rPr>
        <w:t xml:space="preserve">, </w:t>
      </w:r>
      <w:r w:rsidRPr="00937201">
        <w:t>COD, dan total coliform 100% menunjukkan hasil di atas ambang batas yang te</w:t>
      </w:r>
      <w:r w:rsidR="002B340F">
        <w:t>lah ditentukan.</w:t>
      </w:r>
    </w:p>
    <w:tbl>
      <w:tblPr>
        <w:tblStyle w:val="TableGrid"/>
        <w:tblpPr w:leftFromText="180" w:rightFromText="180" w:vertAnchor="text" w:horzAnchor="margin" w:tblpY="555"/>
        <w:tblW w:w="10015" w:type="dxa"/>
        <w:tblBorders>
          <w:left w:val="none" w:sz="0" w:space="0" w:color="auto"/>
          <w:bottom w:val="thickThinLargeGap" w:sz="24" w:space="0" w:color="auto"/>
          <w:right w:val="none" w:sz="0" w:space="0" w:color="auto"/>
          <w:insideV w:val="none" w:sz="0" w:space="0" w:color="auto"/>
        </w:tblBorders>
        <w:tblLayout w:type="fixed"/>
        <w:tblCellMar>
          <w:left w:w="115" w:type="dxa"/>
          <w:right w:w="115" w:type="dxa"/>
        </w:tblCellMar>
        <w:tblLook w:val="04A0"/>
      </w:tblPr>
      <w:tblGrid>
        <w:gridCol w:w="475"/>
        <w:gridCol w:w="1080"/>
        <w:gridCol w:w="810"/>
        <w:gridCol w:w="1080"/>
        <w:gridCol w:w="900"/>
        <w:gridCol w:w="1170"/>
        <w:gridCol w:w="1170"/>
        <w:gridCol w:w="1170"/>
        <w:gridCol w:w="1170"/>
        <w:gridCol w:w="990"/>
      </w:tblGrid>
      <w:tr w:rsidR="001348D3" w:rsidRPr="00937201" w:rsidTr="006B2658">
        <w:tc>
          <w:tcPr>
            <w:tcW w:w="475" w:type="dxa"/>
            <w:vMerge w:val="restart"/>
            <w:vAlign w:val="center"/>
          </w:tcPr>
          <w:p w:rsidR="001348D3" w:rsidRPr="00937201" w:rsidRDefault="001348D3" w:rsidP="006B2658">
            <w:pPr>
              <w:autoSpaceDE w:val="0"/>
              <w:autoSpaceDN w:val="0"/>
              <w:adjustRightInd w:val="0"/>
              <w:spacing w:before="0" w:after="0"/>
              <w:rPr>
                <w:b/>
                <w:sz w:val="18"/>
                <w:szCs w:val="18"/>
              </w:rPr>
            </w:pPr>
            <w:r w:rsidRPr="00937201">
              <w:rPr>
                <w:b/>
                <w:sz w:val="18"/>
                <w:szCs w:val="18"/>
              </w:rPr>
              <w:lastRenderedPageBreak/>
              <w:t>No</w:t>
            </w:r>
          </w:p>
        </w:tc>
        <w:tc>
          <w:tcPr>
            <w:tcW w:w="1080" w:type="dxa"/>
            <w:vMerge w:val="restart"/>
            <w:vAlign w:val="center"/>
          </w:tcPr>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Parameter</w:t>
            </w:r>
          </w:p>
        </w:tc>
        <w:tc>
          <w:tcPr>
            <w:tcW w:w="810" w:type="dxa"/>
            <w:vMerge w:val="restart"/>
            <w:vAlign w:val="center"/>
          </w:tcPr>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Satuan</w:t>
            </w:r>
          </w:p>
        </w:tc>
        <w:tc>
          <w:tcPr>
            <w:tcW w:w="6660" w:type="dxa"/>
            <w:gridSpan w:val="6"/>
            <w:vAlign w:val="center"/>
          </w:tcPr>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Titik sampling</w:t>
            </w:r>
          </w:p>
        </w:tc>
        <w:tc>
          <w:tcPr>
            <w:tcW w:w="990" w:type="dxa"/>
            <w:vMerge w:val="restart"/>
            <w:vAlign w:val="center"/>
          </w:tcPr>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Kriteria Mutu</w:t>
            </w:r>
          </w:p>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Air Kelas I PP No. 82/2001</w:t>
            </w:r>
          </w:p>
        </w:tc>
      </w:tr>
      <w:tr w:rsidR="001348D3" w:rsidRPr="00937201" w:rsidTr="006B2658">
        <w:tc>
          <w:tcPr>
            <w:tcW w:w="475" w:type="dxa"/>
            <w:vMerge/>
            <w:vAlign w:val="center"/>
          </w:tcPr>
          <w:p w:rsidR="001348D3" w:rsidRPr="00937201" w:rsidRDefault="001348D3" w:rsidP="006B2658">
            <w:pPr>
              <w:autoSpaceDE w:val="0"/>
              <w:autoSpaceDN w:val="0"/>
              <w:adjustRightInd w:val="0"/>
              <w:spacing w:before="0" w:after="0"/>
              <w:rPr>
                <w:b/>
                <w:sz w:val="18"/>
                <w:szCs w:val="18"/>
              </w:rPr>
            </w:pPr>
          </w:p>
        </w:tc>
        <w:tc>
          <w:tcPr>
            <w:tcW w:w="1080" w:type="dxa"/>
            <w:vMerge/>
            <w:vAlign w:val="center"/>
          </w:tcPr>
          <w:p w:rsidR="001348D3" w:rsidRPr="00937201" w:rsidRDefault="001348D3" w:rsidP="006B2658">
            <w:pPr>
              <w:autoSpaceDE w:val="0"/>
              <w:autoSpaceDN w:val="0"/>
              <w:adjustRightInd w:val="0"/>
              <w:spacing w:before="0" w:after="0"/>
              <w:jc w:val="center"/>
              <w:rPr>
                <w:b/>
                <w:sz w:val="18"/>
                <w:szCs w:val="18"/>
              </w:rPr>
            </w:pPr>
          </w:p>
        </w:tc>
        <w:tc>
          <w:tcPr>
            <w:tcW w:w="810" w:type="dxa"/>
            <w:vMerge/>
            <w:vAlign w:val="center"/>
          </w:tcPr>
          <w:p w:rsidR="001348D3" w:rsidRPr="00937201" w:rsidRDefault="001348D3" w:rsidP="006B2658">
            <w:pPr>
              <w:autoSpaceDE w:val="0"/>
              <w:autoSpaceDN w:val="0"/>
              <w:adjustRightInd w:val="0"/>
              <w:spacing w:before="0" w:after="0"/>
              <w:jc w:val="center"/>
              <w:rPr>
                <w:b/>
                <w:sz w:val="18"/>
                <w:szCs w:val="18"/>
              </w:rPr>
            </w:pPr>
          </w:p>
        </w:tc>
        <w:tc>
          <w:tcPr>
            <w:tcW w:w="1080" w:type="dxa"/>
            <w:vAlign w:val="center"/>
          </w:tcPr>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A</w:t>
            </w:r>
          </w:p>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Range 1 (52.463m)</w:t>
            </w:r>
          </w:p>
        </w:tc>
        <w:tc>
          <w:tcPr>
            <w:tcW w:w="900" w:type="dxa"/>
            <w:vAlign w:val="center"/>
          </w:tcPr>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B</w:t>
            </w:r>
          </w:p>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Range 1 (23m)</w:t>
            </w:r>
          </w:p>
        </w:tc>
        <w:tc>
          <w:tcPr>
            <w:tcW w:w="1170" w:type="dxa"/>
            <w:vAlign w:val="center"/>
          </w:tcPr>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C</w:t>
            </w:r>
          </w:p>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Range 2 (150.524m)</w:t>
            </w:r>
          </w:p>
        </w:tc>
        <w:tc>
          <w:tcPr>
            <w:tcW w:w="1170" w:type="dxa"/>
            <w:vAlign w:val="center"/>
          </w:tcPr>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D</w:t>
            </w:r>
          </w:p>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Range 2 (116.697m)</w:t>
            </w:r>
          </w:p>
        </w:tc>
        <w:tc>
          <w:tcPr>
            <w:tcW w:w="1170" w:type="dxa"/>
            <w:vAlign w:val="center"/>
          </w:tcPr>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E</w:t>
            </w:r>
          </w:p>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Range 3 (283.445m)</w:t>
            </w:r>
          </w:p>
        </w:tc>
        <w:tc>
          <w:tcPr>
            <w:tcW w:w="1170" w:type="dxa"/>
            <w:vAlign w:val="center"/>
          </w:tcPr>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F</w:t>
            </w:r>
          </w:p>
          <w:p w:rsidR="001348D3" w:rsidRPr="00937201" w:rsidRDefault="001348D3" w:rsidP="006B2658">
            <w:pPr>
              <w:autoSpaceDE w:val="0"/>
              <w:autoSpaceDN w:val="0"/>
              <w:adjustRightInd w:val="0"/>
              <w:spacing w:before="0" w:after="0"/>
              <w:jc w:val="center"/>
              <w:rPr>
                <w:b/>
                <w:sz w:val="18"/>
                <w:szCs w:val="18"/>
              </w:rPr>
            </w:pPr>
            <w:r w:rsidRPr="00937201">
              <w:rPr>
                <w:b/>
                <w:sz w:val="18"/>
                <w:szCs w:val="18"/>
              </w:rPr>
              <w:t>Range 3 (236.984m)</w:t>
            </w:r>
          </w:p>
        </w:tc>
        <w:tc>
          <w:tcPr>
            <w:tcW w:w="990" w:type="dxa"/>
            <w:vMerge/>
            <w:vAlign w:val="center"/>
          </w:tcPr>
          <w:p w:rsidR="001348D3" w:rsidRPr="00937201" w:rsidRDefault="001348D3" w:rsidP="006B2658">
            <w:pPr>
              <w:autoSpaceDE w:val="0"/>
              <w:autoSpaceDN w:val="0"/>
              <w:adjustRightInd w:val="0"/>
              <w:spacing w:before="0" w:after="0"/>
              <w:jc w:val="center"/>
              <w:rPr>
                <w:b/>
                <w:sz w:val="18"/>
                <w:szCs w:val="18"/>
              </w:rPr>
            </w:pPr>
          </w:p>
        </w:tc>
      </w:tr>
      <w:tr w:rsidR="001348D3" w:rsidRPr="00937201" w:rsidTr="006B2658">
        <w:tc>
          <w:tcPr>
            <w:tcW w:w="475" w:type="dxa"/>
            <w:vAlign w:val="center"/>
          </w:tcPr>
          <w:p w:rsidR="001348D3" w:rsidRPr="00937201" w:rsidRDefault="001348D3" w:rsidP="006B2658">
            <w:pPr>
              <w:autoSpaceDE w:val="0"/>
              <w:autoSpaceDN w:val="0"/>
              <w:adjustRightInd w:val="0"/>
              <w:spacing w:before="0" w:after="0"/>
              <w:rPr>
                <w:sz w:val="18"/>
                <w:szCs w:val="18"/>
              </w:rPr>
            </w:pPr>
            <w:r w:rsidRPr="00937201">
              <w:rPr>
                <w:sz w:val="18"/>
                <w:szCs w:val="18"/>
              </w:rPr>
              <w:t xml:space="preserve">1. </w:t>
            </w:r>
          </w:p>
        </w:tc>
        <w:tc>
          <w:tcPr>
            <w:tcW w:w="108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Kekeruhan</w:t>
            </w:r>
          </w:p>
        </w:tc>
        <w:tc>
          <w:tcPr>
            <w:tcW w:w="81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Skala NTU</w:t>
            </w:r>
          </w:p>
        </w:tc>
        <w:tc>
          <w:tcPr>
            <w:tcW w:w="1080" w:type="dxa"/>
            <w:vAlign w:val="center"/>
          </w:tcPr>
          <w:p w:rsidR="001348D3" w:rsidRPr="00937201" w:rsidRDefault="001348D3" w:rsidP="006B2658">
            <w:pPr>
              <w:spacing w:before="0" w:after="0"/>
              <w:jc w:val="center"/>
              <w:rPr>
                <w:sz w:val="18"/>
                <w:szCs w:val="18"/>
              </w:rPr>
            </w:pPr>
            <w:r w:rsidRPr="00937201">
              <w:rPr>
                <w:sz w:val="18"/>
                <w:szCs w:val="18"/>
              </w:rPr>
              <w:t>*43</w:t>
            </w:r>
          </w:p>
        </w:tc>
        <w:tc>
          <w:tcPr>
            <w:tcW w:w="900" w:type="dxa"/>
            <w:vAlign w:val="center"/>
          </w:tcPr>
          <w:p w:rsidR="001348D3" w:rsidRPr="00937201" w:rsidRDefault="001348D3" w:rsidP="006B2658">
            <w:pPr>
              <w:spacing w:before="0" w:after="0"/>
              <w:jc w:val="center"/>
              <w:rPr>
                <w:sz w:val="18"/>
                <w:szCs w:val="18"/>
              </w:rPr>
            </w:pPr>
            <w:r w:rsidRPr="00937201">
              <w:rPr>
                <w:sz w:val="18"/>
                <w:szCs w:val="18"/>
              </w:rPr>
              <w:t>*135</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*28</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*37</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*27</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*50</w:t>
            </w:r>
          </w:p>
        </w:tc>
        <w:tc>
          <w:tcPr>
            <w:tcW w:w="99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25</w:t>
            </w:r>
          </w:p>
        </w:tc>
      </w:tr>
      <w:tr w:rsidR="001348D3" w:rsidRPr="00937201" w:rsidTr="006B2658">
        <w:tc>
          <w:tcPr>
            <w:tcW w:w="475" w:type="dxa"/>
            <w:vAlign w:val="center"/>
          </w:tcPr>
          <w:p w:rsidR="001348D3" w:rsidRPr="00937201" w:rsidRDefault="001348D3" w:rsidP="006B2658">
            <w:pPr>
              <w:autoSpaceDE w:val="0"/>
              <w:autoSpaceDN w:val="0"/>
              <w:adjustRightInd w:val="0"/>
              <w:spacing w:before="0" w:after="0"/>
              <w:rPr>
                <w:sz w:val="18"/>
                <w:szCs w:val="18"/>
              </w:rPr>
            </w:pPr>
            <w:r w:rsidRPr="00937201">
              <w:rPr>
                <w:sz w:val="18"/>
                <w:szCs w:val="18"/>
              </w:rPr>
              <w:t xml:space="preserve">2. </w:t>
            </w:r>
          </w:p>
        </w:tc>
        <w:tc>
          <w:tcPr>
            <w:tcW w:w="108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Ph</w:t>
            </w:r>
          </w:p>
        </w:tc>
        <w:tc>
          <w:tcPr>
            <w:tcW w:w="81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mg/l</w:t>
            </w:r>
          </w:p>
        </w:tc>
        <w:tc>
          <w:tcPr>
            <w:tcW w:w="1080" w:type="dxa"/>
            <w:vAlign w:val="center"/>
          </w:tcPr>
          <w:p w:rsidR="001348D3" w:rsidRPr="00937201" w:rsidRDefault="001348D3" w:rsidP="006B2658">
            <w:pPr>
              <w:spacing w:before="0" w:after="0"/>
              <w:jc w:val="center"/>
              <w:rPr>
                <w:sz w:val="18"/>
                <w:szCs w:val="18"/>
              </w:rPr>
            </w:pPr>
            <w:r w:rsidRPr="00937201">
              <w:rPr>
                <w:sz w:val="18"/>
                <w:szCs w:val="18"/>
              </w:rPr>
              <w:t>*6.16</w:t>
            </w:r>
          </w:p>
        </w:tc>
        <w:tc>
          <w:tcPr>
            <w:tcW w:w="900" w:type="dxa"/>
            <w:vAlign w:val="center"/>
          </w:tcPr>
          <w:p w:rsidR="001348D3" w:rsidRPr="00937201" w:rsidRDefault="001348D3" w:rsidP="006B2658">
            <w:pPr>
              <w:spacing w:before="0" w:after="0"/>
              <w:jc w:val="center"/>
              <w:rPr>
                <w:sz w:val="18"/>
                <w:szCs w:val="18"/>
              </w:rPr>
            </w:pPr>
            <w:r w:rsidRPr="00937201">
              <w:rPr>
                <w:sz w:val="18"/>
                <w:szCs w:val="18"/>
              </w:rPr>
              <w:t>5.37</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5.64</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5.11</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4.98</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4.94</w:t>
            </w:r>
          </w:p>
        </w:tc>
        <w:tc>
          <w:tcPr>
            <w:tcW w:w="99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6-9</w:t>
            </w:r>
          </w:p>
        </w:tc>
      </w:tr>
      <w:tr w:rsidR="001348D3" w:rsidRPr="00937201" w:rsidTr="006B2658">
        <w:tc>
          <w:tcPr>
            <w:tcW w:w="475" w:type="dxa"/>
            <w:vAlign w:val="center"/>
          </w:tcPr>
          <w:p w:rsidR="001348D3" w:rsidRPr="00937201" w:rsidRDefault="001348D3" w:rsidP="006B2658">
            <w:pPr>
              <w:autoSpaceDE w:val="0"/>
              <w:autoSpaceDN w:val="0"/>
              <w:adjustRightInd w:val="0"/>
              <w:spacing w:before="0" w:after="0"/>
              <w:rPr>
                <w:sz w:val="18"/>
                <w:szCs w:val="18"/>
              </w:rPr>
            </w:pPr>
            <w:r w:rsidRPr="00937201">
              <w:rPr>
                <w:sz w:val="18"/>
                <w:szCs w:val="18"/>
              </w:rPr>
              <w:t xml:space="preserve">3. </w:t>
            </w:r>
          </w:p>
        </w:tc>
        <w:tc>
          <w:tcPr>
            <w:tcW w:w="108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BOD</w:t>
            </w:r>
          </w:p>
        </w:tc>
        <w:tc>
          <w:tcPr>
            <w:tcW w:w="81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mg/l</w:t>
            </w:r>
          </w:p>
        </w:tc>
        <w:tc>
          <w:tcPr>
            <w:tcW w:w="1080" w:type="dxa"/>
            <w:vAlign w:val="center"/>
          </w:tcPr>
          <w:p w:rsidR="001348D3" w:rsidRPr="00937201" w:rsidRDefault="001348D3" w:rsidP="006B2658">
            <w:pPr>
              <w:spacing w:before="0" w:after="0"/>
              <w:jc w:val="center"/>
              <w:rPr>
                <w:sz w:val="18"/>
                <w:szCs w:val="18"/>
              </w:rPr>
            </w:pPr>
            <w:r w:rsidRPr="00937201">
              <w:rPr>
                <w:sz w:val="18"/>
                <w:szCs w:val="18"/>
              </w:rPr>
              <w:t>*106</w:t>
            </w:r>
          </w:p>
        </w:tc>
        <w:tc>
          <w:tcPr>
            <w:tcW w:w="900" w:type="dxa"/>
            <w:vAlign w:val="center"/>
          </w:tcPr>
          <w:p w:rsidR="001348D3" w:rsidRPr="00937201" w:rsidRDefault="001348D3" w:rsidP="006B2658">
            <w:pPr>
              <w:spacing w:before="0" w:after="0"/>
              <w:jc w:val="center"/>
              <w:rPr>
                <w:sz w:val="18"/>
                <w:szCs w:val="18"/>
              </w:rPr>
            </w:pPr>
            <w:r w:rsidRPr="00937201">
              <w:rPr>
                <w:sz w:val="18"/>
                <w:szCs w:val="18"/>
              </w:rPr>
              <w:t>*465</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*155</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*78</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*217</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*207</w:t>
            </w:r>
          </w:p>
        </w:tc>
        <w:tc>
          <w:tcPr>
            <w:tcW w:w="99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2</w:t>
            </w:r>
          </w:p>
        </w:tc>
      </w:tr>
      <w:tr w:rsidR="001348D3" w:rsidRPr="00937201" w:rsidTr="006B2658">
        <w:tc>
          <w:tcPr>
            <w:tcW w:w="475" w:type="dxa"/>
            <w:vAlign w:val="center"/>
          </w:tcPr>
          <w:p w:rsidR="001348D3" w:rsidRPr="00937201" w:rsidRDefault="001348D3" w:rsidP="006B2658">
            <w:pPr>
              <w:autoSpaceDE w:val="0"/>
              <w:autoSpaceDN w:val="0"/>
              <w:adjustRightInd w:val="0"/>
              <w:spacing w:before="0" w:after="0"/>
              <w:rPr>
                <w:sz w:val="18"/>
                <w:szCs w:val="18"/>
              </w:rPr>
            </w:pPr>
            <w:r w:rsidRPr="00937201">
              <w:rPr>
                <w:sz w:val="18"/>
                <w:szCs w:val="18"/>
              </w:rPr>
              <w:t xml:space="preserve">4. </w:t>
            </w:r>
          </w:p>
        </w:tc>
        <w:tc>
          <w:tcPr>
            <w:tcW w:w="108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COD</w:t>
            </w:r>
          </w:p>
        </w:tc>
        <w:tc>
          <w:tcPr>
            <w:tcW w:w="81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mg/l</w:t>
            </w:r>
          </w:p>
        </w:tc>
        <w:tc>
          <w:tcPr>
            <w:tcW w:w="1080" w:type="dxa"/>
            <w:vAlign w:val="center"/>
          </w:tcPr>
          <w:p w:rsidR="001348D3" w:rsidRPr="00937201" w:rsidRDefault="001348D3" w:rsidP="006B2658">
            <w:pPr>
              <w:spacing w:before="0" w:after="0"/>
              <w:jc w:val="center"/>
              <w:rPr>
                <w:sz w:val="18"/>
                <w:szCs w:val="18"/>
              </w:rPr>
            </w:pPr>
            <w:r w:rsidRPr="00937201">
              <w:rPr>
                <w:sz w:val="18"/>
                <w:szCs w:val="18"/>
              </w:rPr>
              <w:t>*163</w:t>
            </w:r>
          </w:p>
        </w:tc>
        <w:tc>
          <w:tcPr>
            <w:tcW w:w="900" w:type="dxa"/>
            <w:vAlign w:val="center"/>
          </w:tcPr>
          <w:p w:rsidR="001348D3" w:rsidRPr="00937201" w:rsidRDefault="001348D3" w:rsidP="006B2658">
            <w:pPr>
              <w:spacing w:before="0" w:after="0"/>
              <w:jc w:val="center"/>
              <w:rPr>
                <w:sz w:val="18"/>
                <w:szCs w:val="18"/>
              </w:rPr>
            </w:pPr>
            <w:r w:rsidRPr="00937201">
              <w:rPr>
                <w:sz w:val="18"/>
                <w:szCs w:val="18"/>
              </w:rPr>
              <w:t>*716</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*239</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*120</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*334</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*318</w:t>
            </w:r>
          </w:p>
        </w:tc>
        <w:tc>
          <w:tcPr>
            <w:tcW w:w="990" w:type="dxa"/>
            <w:vAlign w:val="center"/>
          </w:tcPr>
          <w:p w:rsidR="001348D3" w:rsidRPr="00937201" w:rsidRDefault="001348D3" w:rsidP="006B2658">
            <w:pPr>
              <w:spacing w:before="0" w:after="0"/>
              <w:jc w:val="center"/>
              <w:rPr>
                <w:sz w:val="18"/>
                <w:szCs w:val="18"/>
              </w:rPr>
            </w:pPr>
            <w:r w:rsidRPr="00937201">
              <w:rPr>
                <w:sz w:val="18"/>
                <w:szCs w:val="18"/>
              </w:rPr>
              <w:t>10</w:t>
            </w:r>
          </w:p>
        </w:tc>
      </w:tr>
      <w:tr w:rsidR="001348D3" w:rsidRPr="00937201" w:rsidTr="006B2658">
        <w:tc>
          <w:tcPr>
            <w:tcW w:w="475" w:type="dxa"/>
            <w:vAlign w:val="center"/>
          </w:tcPr>
          <w:p w:rsidR="001348D3" w:rsidRPr="00937201" w:rsidRDefault="001348D3" w:rsidP="006B2658">
            <w:pPr>
              <w:autoSpaceDE w:val="0"/>
              <w:autoSpaceDN w:val="0"/>
              <w:adjustRightInd w:val="0"/>
              <w:spacing w:before="0" w:after="0"/>
              <w:rPr>
                <w:sz w:val="18"/>
                <w:szCs w:val="18"/>
              </w:rPr>
            </w:pPr>
            <w:r w:rsidRPr="00937201">
              <w:rPr>
                <w:sz w:val="18"/>
                <w:szCs w:val="18"/>
              </w:rPr>
              <w:t xml:space="preserve">5. </w:t>
            </w:r>
          </w:p>
        </w:tc>
        <w:tc>
          <w:tcPr>
            <w:tcW w:w="108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Total coliform</w:t>
            </w:r>
          </w:p>
        </w:tc>
        <w:tc>
          <w:tcPr>
            <w:tcW w:w="81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MPN/</w:t>
            </w:r>
          </w:p>
          <w:p w:rsidR="001348D3" w:rsidRPr="00937201" w:rsidRDefault="001348D3" w:rsidP="006B2658">
            <w:pPr>
              <w:autoSpaceDE w:val="0"/>
              <w:autoSpaceDN w:val="0"/>
              <w:adjustRightInd w:val="0"/>
              <w:spacing w:before="0" w:after="0"/>
              <w:jc w:val="center"/>
              <w:rPr>
                <w:sz w:val="18"/>
                <w:szCs w:val="18"/>
              </w:rPr>
            </w:pPr>
            <w:r w:rsidRPr="00937201">
              <w:rPr>
                <w:sz w:val="18"/>
                <w:szCs w:val="18"/>
              </w:rPr>
              <w:t>100 ml</w:t>
            </w:r>
          </w:p>
        </w:tc>
        <w:tc>
          <w:tcPr>
            <w:tcW w:w="1080" w:type="dxa"/>
            <w:vAlign w:val="center"/>
          </w:tcPr>
          <w:p w:rsidR="001348D3" w:rsidRPr="00937201" w:rsidRDefault="001348D3" w:rsidP="006B2658">
            <w:pPr>
              <w:spacing w:before="0" w:after="0"/>
              <w:jc w:val="center"/>
              <w:rPr>
                <w:sz w:val="18"/>
                <w:szCs w:val="18"/>
              </w:rPr>
            </w:pPr>
            <w:r w:rsidRPr="00937201">
              <w:rPr>
                <w:sz w:val="18"/>
                <w:szCs w:val="18"/>
              </w:rPr>
              <w:t>*1500</w:t>
            </w:r>
          </w:p>
        </w:tc>
        <w:tc>
          <w:tcPr>
            <w:tcW w:w="900" w:type="dxa"/>
            <w:vAlign w:val="center"/>
          </w:tcPr>
          <w:p w:rsidR="001348D3" w:rsidRPr="00937201" w:rsidRDefault="001348D3" w:rsidP="006B2658">
            <w:pPr>
              <w:spacing w:before="0" w:after="0"/>
              <w:jc w:val="center"/>
              <w:rPr>
                <w:sz w:val="18"/>
                <w:szCs w:val="18"/>
              </w:rPr>
            </w:pPr>
            <w:r w:rsidRPr="00937201">
              <w:rPr>
                <w:sz w:val="18"/>
                <w:szCs w:val="18"/>
              </w:rPr>
              <w:t>*&gt;11000</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*&gt;11000</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*&gt;11000</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*11000</w:t>
            </w:r>
          </w:p>
        </w:tc>
        <w:tc>
          <w:tcPr>
            <w:tcW w:w="1170" w:type="dxa"/>
            <w:vAlign w:val="center"/>
          </w:tcPr>
          <w:p w:rsidR="001348D3" w:rsidRPr="00937201" w:rsidRDefault="001348D3" w:rsidP="006B2658">
            <w:pPr>
              <w:spacing w:before="0" w:after="0"/>
              <w:jc w:val="center"/>
              <w:rPr>
                <w:sz w:val="18"/>
                <w:szCs w:val="18"/>
              </w:rPr>
            </w:pPr>
            <w:r w:rsidRPr="00937201">
              <w:rPr>
                <w:sz w:val="18"/>
                <w:szCs w:val="18"/>
              </w:rPr>
              <w:t>*&gt;11000</w:t>
            </w:r>
          </w:p>
        </w:tc>
        <w:tc>
          <w:tcPr>
            <w:tcW w:w="990" w:type="dxa"/>
            <w:vAlign w:val="center"/>
          </w:tcPr>
          <w:p w:rsidR="001348D3" w:rsidRPr="00937201" w:rsidRDefault="001348D3" w:rsidP="006B2658">
            <w:pPr>
              <w:autoSpaceDE w:val="0"/>
              <w:autoSpaceDN w:val="0"/>
              <w:adjustRightInd w:val="0"/>
              <w:spacing w:before="0" w:after="0"/>
              <w:jc w:val="center"/>
              <w:rPr>
                <w:sz w:val="18"/>
                <w:szCs w:val="18"/>
              </w:rPr>
            </w:pPr>
            <w:r w:rsidRPr="00937201">
              <w:rPr>
                <w:sz w:val="18"/>
                <w:szCs w:val="18"/>
              </w:rPr>
              <w:t>1000</w:t>
            </w:r>
          </w:p>
        </w:tc>
      </w:tr>
    </w:tbl>
    <w:p w:rsidR="006B2658" w:rsidRDefault="006B2658" w:rsidP="00A02401">
      <w:pPr>
        <w:tabs>
          <w:tab w:val="left" w:pos="540"/>
        </w:tabs>
        <w:autoSpaceDE w:val="0"/>
        <w:autoSpaceDN w:val="0"/>
        <w:adjustRightInd w:val="0"/>
        <w:spacing w:before="0" w:after="0"/>
        <w:rPr>
          <w:b/>
          <w:sz w:val="18"/>
          <w:szCs w:val="18"/>
          <w:lang w:val="id-ID"/>
        </w:rPr>
        <w:sectPr w:rsidR="006B2658" w:rsidSect="00AA0DC3">
          <w:type w:val="continuous"/>
          <w:pgSz w:w="12240" w:h="15840"/>
          <w:pgMar w:top="1440" w:right="1440" w:bottom="1440" w:left="1440" w:header="720" w:footer="720" w:gutter="0"/>
          <w:cols w:num="2" w:space="720"/>
          <w:docGrid w:linePitch="360"/>
        </w:sectPr>
      </w:pPr>
    </w:p>
    <w:p w:rsidR="006B2658" w:rsidRPr="003C0D4C" w:rsidRDefault="006B2658" w:rsidP="006B2658">
      <w:pPr>
        <w:tabs>
          <w:tab w:val="left" w:pos="540"/>
        </w:tabs>
        <w:autoSpaceDE w:val="0"/>
        <w:autoSpaceDN w:val="0"/>
        <w:adjustRightInd w:val="0"/>
        <w:spacing w:before="0" w:after="0"/>
        <w:jc w:val="center"/>
        <w:rPr>
          <w:b/>
          <w:sz w:val="18"/>
          <w:szCs w:val="18"/>
          <w:lang w:val="id-ID"/>
        </w:rPr>
      </w:pPr>
      <w:r w:rsidRPr="003C0D4C">
        <w:rPr>
          <w:b/>
          <w:sz w:val="18"/>
          <w:szCs w:val="18"/>
          <w:lang w:val="id-ID"/>
        </w:rPr>
        <w:lastRenderedPageBreak/>
        <w:t>Tabel 3. Hasil pemeriksaan laboratorium terhadap kualitas air sumur masyarakat sekitar TPA</w:t>
      </w:r>
    </w:p>
    <w:p w:rsidR="006B2658" w:rsidRDefault="006B2658" w:rsidP="006B2658">
      <w:pPr>
        <w:autoSpaceDE w:val="0"/>
        <w:autoSpaceDN w:val="0"/>
        <w:adjustRightInd w:val="0"/>
        <w:spacing w:before="0" w:after="0"/>
        <w:rPr>
          <w:sz w:val="18"/>
          <w:szCs w:val="18"/>
          <w:lang w:val="id-ID"/>
        </w:rPr>
        <w:sectPr w:rsidR="006B2658" w:rsidSect="006B2658">
          <w:type w:val="continuous"/>
          <w:pgSz w:w="12240" w:h="15840"/>
          <w:pgMar w:top="1440" w:right="1440" w:bottom="1440" w:left="1440" w:header="720" w:footer="720" w:gutter="0"/>
          <w:cols w:space="720"/>
          <w:docGrid w:linePitch="360"/>
        </w:sectPr>
      </w:pPr>
    </w:p>
    <w:p w:rsidR="006B2658" w:rsidRDefault="006B2658" w:rsidP="006B2658">
      <w:pPr>
        <w:autoSpaceDE w:val="0"/>
        <w:autoSpaceDN w:val="0"/>
        <w:adjustRightInd w:val="0"/>
        <w:spacing w:before="0" w:after="0"/>
        <w:rPr>
          <w:sz w:val="18"/>
          <w:szCs w:val="18"/>
          <w:lang w:val="id-ID"/>
        </w:rPr>
      </w:pPr>
    </w:p>
    <w:p w:rsidR="00937201" w:rsidRPr="00937201" w:rsidRDefault="00937201" w:rsidP="00937201">
      <w:pPr>
        <w:autoSpaceDE w:val="0"/>
        <w:autoSpaceDN w:val="0"/>
        <w:adjustRightInd w:val="0"/>
        <w:spacing w:before="0" w:after="0"/>
        <w:ind w:left="142"/>
        <w:rPr>
          <w:sz w:val="18"/>
          <w:szCs w:val="18"/>
        </w:rPr>
      </w:pPr>
      <w:r w:rsidRPr="00937201">
        <w:rPr>
          <w:sz w:val="18"/>
          <w:szCs w:val="18"/>
        </w:rPr>
        <w:t>Sumber : Data Primer 2015</w:t>
      </w:r>
    </w:p>
    <w:p w:rsidR="00937201" w:rsidRPr="00937201" w:rsidRDefault="00937201" w:rsidP="00937201">
      <w:pPr>
        <w:autoSpaceDE w:val="0"/>
        <w:autoSpaceDN w:val="0"/>
        <w:adjustRightInd w:val="0"/>
        <w:spacing w:before="0" w:after="0"/>
        <w:ind w:left="142"/>
        <w:rPr>
          <w:sz w:val="18"/>
          <w:szCs w:val="18"/>
        </w:rPr>
      </w:pPr>
      <w:r w:rsidRPr="00937201">
        <w:rPr>
          <w:sz w:val="18"/>
          <w:szCs w:val="18"/>
        </w:rPr>
        <w:t>Keterangan :</w:t>
      </w:r>
    </w:p>
    <w:p w:rsidR="00A02401" w:rsidRPr="00A02401" w:rsidRDefault="00937201" w:rsidP="00A02401">
      <w:pPr>
        <w:autoSpaceDE w:val="0"/>
        <w:autoSpaceDN w:val="0"/>
        <w:adjustRightInd w:val="0"/>
        <w:spacing w:before="0" w:after="0"/>
        <w:ind w:left="142"/>
        <w:rPr>
          <w:sz w:val="18"/>
          <w:szCs w:val="18"/>
          <w:lang w:val="id-ID"/>
        </w:rPr>
      </w:pPr>
      <w:r w:rsidRPr="00937201">
        <w:rPr>
          <w:sz w:val="18"/>
          <w:szCs w:val="18"/>
        </w:rPr>
        <w:t>* : Nilai yang melampaui ambang batas Baku Mutu Air Baku</w:t>
      </w:r>
    </w:p>
    <w:p w:rsidR="00A02401" w:rsidRDefault="00A02401" w:rsidP="000B31F3">
      <w:pPr>
        <w:widowControl w:val="0"/>
        <w:spacing w:before="0" w:after="0"/>
        <w:ind w:right="18"/>
        <w:rPr>
          <w:lang w:val="id-ID"/>
        </w:rPr>
      </w:pPr>
    </w:p>
    <w:p w:rsidR="002B340F" w:rsidRPr="006B2658" w:rsidRDefault="002B340F" w:rsidP="000B31F3">
      <w:pPr>
        <w:widowControl w:val="0"/>
        <w:spacing w:before="0" w:after="0"/>
        <w:ind w:right="18"/>
        <w:rPr>
          <w:color w:val="000000" w:themeColor="text1"/>
          <w:kern w:val="24"/>
          <w:lang w:val="id-ID"/>
        </w:rPr>
      </w:pPr>
      <w:r w:rsidRPr="00342CB2">
        <w:rPr>
          <w:rFonts w:eastAsia="TimesNewRoman"/>
          <w:b/>
          <w:sz w:val="24"/>
          <w:szCs w:val="24"/>
        </w:rPr>
        <w:t>A. Kualitas Fisik</w:t>
      </w:r>
    </w:p>
    <w:p w:rsidR="004E4465" w:rsidRPr="006B2658" w:rsidRDefault="002B340F" w:rsidP="006B2658">
      <w:pPr>
        <w:widowControl w:val="0"/>
        <w:spacing w:after="0"/>
        <w:ind w:right="18"/>
        <w:rPr>
          <w:rFonts w:eastAsia="TimesNewRoman"/>
          <w:lang w:val="id-ID"/>
        </w:rPr>
      </w:pPr>
      <w:r w:rsidRPr="002B340F">
        <w:rPr>
          <w:rFonts w:eastAsia="TimesNewRoman"/>
        </w:rPr>
        <w:t>Kualitas fisik air tanah dilihat dari indikator tingkat kekeruhan air. Air yang aman untuk dikonsumsi sebaiknya berwarna bening atau tidak keruh. Dari hasil uji laboratorium diketahui tingkat kekeruhan pada sampel air semuanya memiliki tingkat kekeruhan di atas ambang</w:t>
      </w:r>
      <w:r w:rsidR="00DA26D9">
        <w:rPr>
          <w:rFonts w:eastAsia="TimesNewRoman"/>
        </w:rPr>
        <w:t xml:space="preserve"> batas yang ditentukan &gt;25 NTU. </w:t>
      </w:r>
      <w:r w:rsidRPr="002B340F">
        <w:rPr>
          <w:rFonts w:eastAsia="TimesNewRoman"/>
        </w:rPr>
        <w:t>Artinya pada pemeriksaan parameter kekeruhan air dikatakan kurang baik karena 100% sampel air yang diperiksa tidak memenuhi syarat baku mutu kualitas air tanah secara fisik.</w:t>
      </w:r>
    </w:p>
    <w:p w:rsidR="004E4465" w:rsidRPr="006B2658" w:rsidRDefault="004E4465" w:rsidP="006B2658">
      <w:pPr>
        <w:widowControl w:val="0"/>
        <w:spacing w:after="0"/>
        <w:ind w:right="18"/>
        <w:rPr>
          <w:lang w:val="id-ID"/>
        </w:rPr>
      </w:pPr>
      <w:r w:rsidRPr="004E4465">
        <w:rPr>
          <w:rFonts w:eastAsia="Times New Roman"/>
        </w:rPr>
        <w:t xml:space="preserve">Dari hasil uji laboratorium diketahui semakin jauh jarak pemukiman semakin rendah tingkat kekeruhan air, hanya saja pada sampel F dengan jarak </w:t>
      </w:r>
      <w:r w:rsidRPr="004E4465">
        <w:t>236.984m tingkat kekeruhan air kembali meningkat dengan nilai 50 NTU lebih besar dari sampel A, D, dan C namun kembali turun pada jarak 283.445m pada sampel E.</w:t>
      </w:r>
    </w:p>
    <w:p w:rsidR="00F51B4B" w:rsidRDefault="004E4465" w:rsidP="00A02401">
      <w:pPr>
        <w:widowControl w:val="0"/>
        <w:spacing w:after="0"/>
        <w:ind w:right="18"/>
        <w:rPr>
          <w:bCs/>
          <w:lang w:val="id-ID"/>
        </w:rPr>
      </w:pPr>
      <w:r w:rsidRPr="004E4465">
        <w:rPr>
          <w:rFonts w:eastAsia="Times New Roman"/>
        </w:rPr>
        <w:t>Begitu juga penelitia</w:t>
      </w:r>
      <w:r>
        <w:rPr>
          <w:rFonts w:eastAsia="Times New Roman"/>
        </w:rPr>
        <w:t xml:space="preserve">n yang dilakukan </w:t>
      </w:r>
      <w:r w:rsidRPr="004E4465">
        <w:rPr>
          <w:rFonts w:eastAsia="Times New Roman"/>
        </w:rPr>
        <w:t xml:space="preserve">di </w:t>
      </w:r>
      <w:r w:rsidRPr="004E4465">
        <w:rPr>
          <w:bCs/>
        </w:rPr>
        <w:t>Tempat Pembuangan Akhir (TPA)</w:t>
      </w:r>
      <w:r w:rsidRPr="004E4465">
        <w:rPr>
          <w:rFonts w:eastAsia="Times New Roman"/>
        </w:rPr>
        <w:t xml:space="preserve"> </w:t>
      </w:r>
      <w:r w:rsidRPr="004E4465">
        <w:rPr>
          <w:bCs/>
        </w:rPr>
        <w:t>sampah Piyungan Kabupaten Bantul yang menyatakan hasil kekeruhan</w:t>
      </w:r>
    </w:p>
    <w:p w:rsidR="00A02401" w:rsidRPr="00A02401" w:rsidRDefault="004E4465" w:rsidP="00A02401">
      <w:pPr>
        <w:widowControl w:val="0"/>
        <w:spacing w:before="0" w:after="0"/>
        <w:ind w:right="18"/>
        <w:rPr>
          <w:bCs/>
          <w:lang w:val="id-ID"/>
        </w:rPr>
      </w:pPr>
      <w:r w:rsidRPr="004E4465">
        <w:rPr>
          <w:bCs/>
        </w:rPr>
        <w:t>air sumur pendud</w:t>
      </w:r>
      <w:r w:rsidR="006B2658">
        <w:rPr>
          <w:bCs/>
        </w:rPr>
        <w:t>uk sekitar TPA memiliki tingkat</w:t>
      </w:r>
      <w:r w:rsidR="00F51B4B">
        <w:rPr>
          <w:bCs/>
          <w:lang w:val="id-ID"/>
        </w:rPr>
        <w:t xml:space="preserve"> </w:t>
      </w:r>
      <w:r w:rsidRPr="004E4465">
        <w:rPr>
          <w:bCs/>
        </w:rPr>
        <w:t>kekeruhan diatas baku mutu yaitu 35 NTU pada sampel (D) dan 40 NTU pada sampel (E).</w:t>
      </w:r>
      <w:r w:rsidR="00127FCF" w:rsidRPr="00127FCF">
        <w:rPr>
          <w:bCs/>
          <w:vertAlign w:val="superscript"/>
        </w:rPr>
        <w:t>6</w:t>
      </w:r>
    </w:p>
    <w:p w:rsidR="004E4465" w:rsidRPr="00F51B4B" w:rsidRDefault="004E4465" w:rsidP="00F51B4B">
      <w:pPr>
        <w:widowControl w:val="0"/>
        <w:spacing w:after="0"/>
        <w:ind w:right="18"/>
        <w:rPr>
          <w:rFonts w:eastAsia="TimesNewRoman"/>
          <w:lang w:val="id-ID"/>
        </w:rPr>
      </w:pPr>
      <w:r w:rsidRPr="004E4465">
        <w:rPr>
          <w:rFonts w:eastAsia="TimesNewRoman"/>
        </w:rPr>
        <w:t>Kekeruhan yang terkandung pada air sumur gali masyarakat sekitar TPA Batu Layang diduga dikarenakan akibat suspensi dari zat-zat kimia dan anorganik yang berasal dari sampah logam dan industri yang terdapat di sekitar rumah dan TPA. Selain itu lapukan sampah yang ada di lokasi TPA juga dapat menjadi penyebab tingkat kekeruhan pada air sumur warga yang tinggi seperti lapukan batuan, hewan, maupun tumbuhan.</w:t>
      </w:r>
    </w:p>
    <w:p w:rsidR="00A02401" w:rsidRDefault="00A02401" w:rsidP="00F51B4B">
      <w:pPr>
        <w:widowControl w:val="0"/>
        <w:spacing w:after="0"/>
        <w:ind w:right="18"/>
        <w:rPr>
          <w:lang w:val="id-ID"/>
        </w:rPr>
      </w:pPr>
    </w:p>
    <w:p w:rsidR="00A02401" w:rsidRDefault="00A02401" w:rsidP="00F51B4B">
      <w:pPr>
        <w:widowControl w:val="0"/>
        <w:spacing w:after="0"/>
        <w:ind w:right="18"/>
        <w:rPr>
          <w:lang w:val="id-ID"/>
        </w:rPr>
      </w:pPr>
    </w:p>
    <w:p w:rsidR="00A02401" w:rsidRDefault="00A02401" w:rsidP="00F51B4B">
      <w:pPr>
        <w:widowControl w:val="0"/>
        <w:spacing w:after="0"/>
        <w:ind w:right="18"/>
        <w:rPr>
          <w:lang w:val="id-ID"/>
        </w:rPr>
      </w:pPr>
    </w:p>
    <w:p w:rsidR="00A02401" w:rsidRDefault="00A02401" w:rsidP="00F51B4B">
      <w:pPr>
        <w:widowControl w:val="0"/>
        <w:spacing w:after="0"/>
        <w:ind w:right="18"/>
        <w:rPr>
          <w:lang w:val="id-ID"/>
        </w:rPr>
      </w:pPr>
    </w:p>
    <w:p w:rsidR="00A02401" w:rsidRDefault="00A02401" w:rsidP="00F51B4B">
      <w:pPr>
        <w:widowControl w:val="0"/>
        <w:spacing w:after="0"/>
        <w:ind w:right="18"/>
        <w:rPr>
          <w:lang w:val="id-ID"/>
        </w:rPr>
      </w:pPr>
    </w:p>
    <w:p w:rsidR="004E4465" w:rsidRPr="00F51B4B" w:rsidRDefault="004E4465" w:rsidP="00F51B4B">
      <w:pPr>
        <w:widowControl w:val="0"/>
        <w:spacing w:after="0"/>
        <w:ind w:right="18"/>
        <w:rPr>
          <w:lang w:val="id-ID"/>
        </w:rPr>
      </w:pPr>
      <w:r w:rsidRPr="004E4465">
        <w:t>Air yang keruh akan sulit didesinfeksi, karena mikroba terlindung oleh zat tersuspensi tersebut. Hal ini akan berbahaya bagi kesehatan apabila bakteri tersebut bersifat patogen sehingga berdampak ter</w:t>
      </w:r>
      <w:r w:rsidR="00127FCF">
        <w:t>hadap kesehatan</w:t>
      </w:r>
      <w:r w:rsidRPr="004E4465">
        <w:t>.</w:t>
      </w:r>
      <w:r w:rsidR="00127FCF" w:rsidRPr="00127FCF">
        <w:rPr>
          <w:vertAlign w:val="superscript"/>
        </w:rPr>
        <w:t>7</w:t>
      </w:r>
    </w:p>
    <w:p w:rsidR="00B03415" w:rsidRPr="00F51B4B" w:rsidRDefault="004E4465" w:rsidP="00F51B4B">
      <w:pPr>
        <w:widowControl w:val="0"/>
        <w:spacing w:before="0" w:after="0"/>
        <w:ind w:right="18"/>
        <w:rPr>
          <w:rFonts w:eastAsia="TimesNewRoman"/>
          <w:lang w:val="id-ID"/>
        </w:rPr>
      </w:pPr>
      <w:r w:rsidRPr="004E4465">
        <w:rPr>
          <w:rFonts w:eastAsia="TimesNewRoman"/>
        </w:rPr>
        <w:t>Untuk itu disarankan kepada masyarakat kelurahan Batu layang dapat melakukan pengolahan pada air tanah seperti melakukan penyaringan atau pengendapan terhadap air sumur sebelum digunakan dan tidak menggunakan air untuk keperluan mencuci bahan makanan.</w:t>
      </w:r>
    </w:p>
    <w:p w:rsidR="004E4465" w:rsidRDefault="004E4465" w:rsidP="00DA26D9">
      <w:pPr>
        <w:widowControl w:val="0"/>
        <w:spacing w:after="0"/>
        <w:ind w:right="18"/>
        <w:rPr>
          <w:b/>
          <w:sz w:val="24"/>
          <w:szCs w:val="24"/>
        </w:rPr>
      </w:pPr>
      <w:r w:rsidRPr="00342CB2">
        <w:rPr>
          <w:rFonts w:eastAsia="TimesNewRoman"/>
          <w:b/>
          <w:sz w:val="24"/>
          <w:szCs w:val="24"/>
        </w:rPr>
        <w:t>B. Kualitas Air Tanah Secara Kimia</w:t>
      </w:r>
      <w:r w:rsidRPr="00F65BCC">
        <w:rPr>
          <w:b/>
          <w:sz w:val="24"/>
          <w:szCs w:val="24"/>
          <w:lang w:val="id-ID"/>
        </w:rPr>
        <w:t xml:space="preserve"> </w:t>
      </w:r>
    </w:p>
    <w:p w:rsidR="004E4465" w:rsidRPr="009073F9" w:rsidRDefault="00DA26D9" w:rsidP="00DA26D9">
      <w:pPr>
        <w:autoSpaceDE w:val="0"/>
        <w:autoSpaceDN w:val="0"/>
        <w:adjustRightInd w:val="0"/>
        <w:spacing w:after="0"/>
        <w:rPr>
          <w:rFonts w:eastAsia="TimesNewRoman"/>
          <w:sz w:val="24"/>
          <w:szCs w:val="24"/>
        </w:rPr>
      </w:pPr>
      <w:r w:rsidRPr="009073F9">
        <w:rPr>
          <w:sz w:val="24"/>
          <w:szCs w:val="24"/>
        </w:rPr>
        <w:t xml:space="preserve">1. </w:t>
      </w:r>
      <w:r w:rsidR="004E4465" w:rsidRPr="009073F9">
        <w:rPr>
          <w:rFonts w:eastAsia="TimesNewRoman"/>
          <w:sz w:val="24"/>
          <w:szCs w:val="24"/>
        </w:rPr>
        <w:t>pH</w:t>
      </w:r>
    </w:p>
    <w:p w:rsidR="009073F9" w:rsidRDefault="004E4465" w:rsidP="009073F9">
      <w:pPr>
        <w:autoSpaceDE w:val="0"/>
        <w:autoSpaceDN w:val="0"/>
        <w:adjustRightInd w:val="0"/>
        <w:spacing w:after="0"/>
        <w:rPr>
          <w:rFonts w:eastAsia="TimesNewRoman"/>
        </w:rPr>
      </w:pPr>
      <w:r w:rsidRPr="004E4465">
        <w:rPr>
          <w:rFonts w:eastAsia="TimesNewRoman"/>
        </w:rPr>
        <w:t>pH merupakan intensitas keadaan asam atau basa pada air. pH dikatakan normal jika berada pada nilai 6-9 mg/L (</w:t>
      </w:r>
      <w:r w:rsidRPr="004E4465">
        <w:t>Kriteria Mutu Air Kelas I PP No. 82/2001</w:t>
      </w:r>
      <w:r w:rsidRPr="004E4465">
        <w:rPr>
          <w:rFonts w:eastAsia="TimesNewRoman"/>
        </w:rPr>
        <w:t xml:space="preserve">). Dari hasil uji laboratorium diketahui bahwa semua sampel air sumur yang diteliti memiliki pH air </w:t>
      </w:r>
      <w:r>
        <w:rPr>
          <w:rFonts w:eastAsia="TimesNewRoman"/>
        </w:rPr>
        <w:t xml:space="preserve">berkisar 4-5 </w:t>
      </w:r>
      <w:r w:rsidRPr="004E4465">
        <w:rPr>
          <w:rFonts w:eastAsia="TimesNewRoman"/>
        </w:rPr>
        <w:t>mg/l</w:t>
      </w:r>
      <w:r>
        <w:rPr>
          <w:rFonts w:eastAsia="TimesNewRoman"/>
        </w:rPr>
        <w:t>.</w:t>
      </w:r>
    </w:p>
    <w:p w:rsidR="009073F9" w:rsidRDefault="005C43B0" w:rsidP="009073F9">
      <w:pPr>
        <w:autoSpaceDE w:val="0"/>
        <w:autoSpaceDN w:val="0"/>
        <w:adjustRightInd w:val="0"/>
        <w:spacing w:after="0"/>
        <w:rPr>
          <w:rFonts w:eastAsia="TimesNewRoman"/>
        </w:rPr>
      </w:pPr>
      <w:r w:rsidRPr="005C43B0">
        <w:rPr>
          <w:rFonts w:eastAsia="TimesNewRoman"/>
        </w:rPr>
        <w:t xml:space="preserve">Hal yang sama ditunjukkan dari penelitian </w:t>
      </w:r>
      <w:r w:rsidRPr="005C43B0">
        <w:rPr>
          <w:bCs/>
        </w:rPr>
        <w:t xml:space="preserve">di LPA Air Dingin, Padang yang mendapatkan </w:t>
      </w:r>
      <w:r w:rsidRPr="005C43B0">
        <w:t>Nilai pH rata-rata pada sumur dangkal cenderung asam, yaitu berkisar antara 5,94-6,35 begitu juga pH sumur kontrol yaitu 6,72, sedangkan pH lindi</w:t>
      </w:r>
      <w:r>
        <w:t xml:space="preserve"> </w:t>
      </w:r>
      <w:r w:rsidRPr="005C43B0">
        <w:t xml:space="preserve">bersifat basa, yaitu 8,06 memperlihatkan pH pada seluruh titik sampling menurut PP.RI.No.82 </w:t>
      </w:r>
      <w:r>
        <w:t xml:space="preserve">Tahun 2001, kecuali </w:t>
      </w:r>
      <w:r w:rsidRPr="005C43B0">
        <w:t>titik 3 (258 m) sebagian besar sumur masih memenuhi baku mutu</w:t>
      </w:r>
      <w:r>
        <w:t>.</w:t>
      </w:r>
      <w:r w:rsidR="009073F9" w:rsidRPr="009073F9">
        <w:rPr>
          <w:vertAlign w:val="superscript"/>
        </w:rPr>
        <w:t>8</w:t>
      </w:r>
    </w:p>
    <w:p w:rsidR="00FA0F3A" w:rsidRDefault="005C43B0" w:rsidP="00FA0F3A">
      <w:pPr>
        <w:autoSpaceDE w:val="0"/>
        <w:autoSpaceDN w:val="0"/>
        <w:adjustRightInd w:val="0"/>
        <w:spacing w:after="0"/>
        <w:rPr>
          <w:rFonts w:eastAsia="TimesNewRoman"/>
        </w:rPr>
      </w:pPr>
      <w:r w:rsidRPr="005C43B0">
        <w:rPr>
          <w:rFonts w:eastAsia="TimesNewRoman"/>
        </w:rPr>
        <w:t>Air merupakan pelarut yang baik dan sebaiknya bersifat netral, tidak asam maupun basa untuk mencegah terjadinya pel</w:t>
      </w:r>
      <w:r w:rsidR="009073F9">
        <w:rPr>
          <w:rFonts w:eastAsia="TimesNewRoman"/>
        </w:rPr>
        <w:t>arutan logam berat dan korosi</w:t>
      </w:r>
      <w:r w:rsidRPr="005C43B0">
        <w:rPr>
          <w:rFonts w:eastAsia="TimesNewRoman"/>
        </w:rPr>
        <w:t>.</w:t>
      </w:r>
      <w:r w:rsidR="009073F9">
        <w:rPr>
          <w:rFonts w:eastAsia="TimesNewRoman"/>
          <w:vertAlign w:val="superscript"/>
        </w:rPr>
        <w:t xml:space="preserve"> </w:t>
      </w:r>
      <w:r w:rsidRPr="005C43B0">
        <w:rPr>
          <w:rFonts w:eastAsia="TimesNewRoman"/>
        </w:rPr>
        <w:t xml:space="preserve">Tinggi rendahnya pH pada air dapat </w:t>
      </w:r>
      <w:r w:rsidRPr="005C43B0">
        <w:rPr>
          <w:rFonts w:eastAsia="TimesNewRoman"/>
        </w:rPr>
        <w:lastRenderedPageBreak/>
        <w:t>mempengaruhi kualitas air, dikarenakan air yang memiliki pH dibawah 6 dapat menyebabkan terjadinya korosi pada metal (pipa air) yang melarutkan unsur-unsur timbal, tembaga, bahkan cadmium sedangkan pH yang berada pada nilai di atas 9 dapat membentuk endapan (kerak) pada pipa air yang dap</w:t>
      </w:r>
      <w:r w:rsidR="00FA0F3A">
        <w:rPr>
          <w:rFonts w:eastAsia="TimesNewRoman"/>
        </w:rPr>
        <w:t>at bersifat racun</w:t>
      </w:r>
      <w:r w:rsidRPr="005C43B0">
        <w:rPr>
          <w:rFonts w:eastAsia="TimesNewRoman"/>
        </w:rPr>
        <w:t>.</w:t>
      </w:r>
      <w:r w:rsidR="00FA0F3A" w:rsidRPr="00FA0F3A">
        <w:rPr>
          <w:rFonts w:eastAsia="TimesNewRoman"/>
          <w:vertAlign w:val="superscript"/>
        </w:rPr>
        <w:t>9</w:t>
      </w:r>
      <w:r w:rsidRPr="005C43B0">
        <w:rPr>
          <w:rFonts w:eastAsia="TimesNewRoman"/>
        </w:rPr>
        <w:t xml:space="preserve"> Kadar keasaman air dapat memicu permasalahan kesehatan seperti, flu, alergi, dan gangguan kulit dan bila terjadi korosi maka dapat menyebabkan keracunan.</w:t>
      </w:r>
    </w:p>
    <w:p w:rsidR="00FA0F3A" w:rsidRDefault="00FA0F3A" w:rsidP="00FA0F3A">
      <w:pPr>
        <w:autoSpaceDE w:val="0"/>
        <w:autoSpaceDN w:val="0"/>
        <w:adjustRightInd w:val="0"/>
        <w:spacing w:after="0"/>
        <w:rPr>
          <w:rFonts w:eastAsia="TimesNewRoman"/>
        </w:rPr>
      </w:pPr>
      <w:r>
        <w:rPr>
          <w:rFonts w:eastAsia="TimesNewRoman"/>
        </w:rPr>
        <w:t>Ke-</w:t>
      </w:r>
      <w:r w:rsidR="005C43B0" w:rsidRPr="005C43B0">
        <w:rPr>
          <w:rFonts w:eastAsia="TimesNewRoman"/>
        </w:rPr>
        <w:t>6 sampel air sumur milik masyarakat</w:t>
      </w:r>
      <w:r>
        <w:rPr>
          <w:rFonts w:eastAsia="TimesNewRoman"/>
        </w:rPr>
        <w:t xml:space="preserve"> Batu Layang</w:t>
      </w:r>
      <w:r w:rsidR="005C43B0" w:rsidRPr="005C43B0">
        <w:rPr>
          <w:rFonts w:eastAsia="TimesNewRoman"/>
        </w:rPr>
        <w:t xml:space="preserve"> bersifat asam. Semakin </w:t>
      </w:r>
      <w:r>
        <w:rPr>
          <w:rFonts w:eastAsia="TimesNewRoman"/>
        </w:rPr>
        <w:t xml:space="preserve">jauh jarak sumur dengan TPA, </w:t>
      </w:r>
      <w:r w:rsidR="005C43B0" w:rsidRPr="005C43B0">
        <w:rPr>
          <w:rFonts w:eastAsia="TimesNewRoman"/>
        </w:rPr>
        <w:t xml:space="preserve">kadar pH air semakin rendah atau bersifat semakin asam. </w:t>
      </w:r>
      <w:r w:rsidR="005C43B0" w:rsidRPr="005C43B0">
        <w:t>Tingginya keasaman keenam sumur tersebut mungkin disebabkan karena terurainya bahan-bahan organik yang berasal dari Iindi TPA yang masuk ke sumur penduduk. pH air yang bersifat asam (&lt;6) ataupun basa (&gt;9) akan menyebabkan korosi pada pipa-pipa air yang dapat membentuk senyawa kimia bersifat toksik dan mengganggu kesehatan.</w:t>
      </w:r>
    </w:p>
    <w:p w:rsidR="00FA0F3A" w:rsidRDefault="005C43B0" w:rsidP="00FA0F3A">
      <w:pPr>
        <w:autoSpaceDE w:val="0"/>
        <w:autoSpaceDN w:val="0"/>
        <w:adjustRightInd w:val="0"/>
        <w:spacing w:after="0"/>
        <w:rPr>
          <w:rFonts w:eastAsia="TimesNewRoman"/>
        </w:rPr>
      </w:pPr>
      <w:r>
        <w:t xml:space="preserve">2. </w:t>
      </w:r>
      <w:r w:rsidRPr="005C43B0">
        <w:rPr>
          <w:rFonts w:eastAsia="TimesNewRoman"/>
          <w:sz w:val="24"/>
          <w:szCs w:val="24"/>
        </w:rPr>
        <w:t>BOD</w:t>
      </w:r>
    </w:p>
    <w:p w:rsidR="00AD40C6" w:rsidRDefault="005C43B0" w:rsidP="00AD40C6">
      <w:pPr>
        <w:autoSpaceDE w:val="0"/>
        <w:autoSpaceDN w:val="0"/>
        <w:adjustRightInd w:val="0"/>
        <w:spacing w:after="0"/>
        <w:rPr>
          <w:rFonts w:eastAsia="TimesNewRoman"/>
        </w:rPr>
      </w:pPr>
      <w:r w:rsidRPr="005C43B0">
        <w:t>Kebutuhan Oksigen Biokimia (</w:t>
      </w:r>
      <w:r w:rsidRPr="005C43B0">
        <w:rPr>
          <w:i/>
          <w:iCs/>
        </w:rPr>
        <w:t>Biochemical Oxygen Demand</w:t>
      </w:r>
      <w:r w:rsidRPr="005C43B0">
        <w:t>) merupakan jumlah oksigen yang dibutuhkan oleh mikroorganisme untuk mengoksidasi zat-zat organik menjadi bentuk anorg</w:t>
      </w:r>
      <w:r w:rsidR="00FA0F3A">
        <w:t>anik yang stabil</w:t>
      </w:r>
      <w:r w:rsidRPr="005C43B0">
        <w:t>.</w:t>
      </w:r>
      <w:r w:rsidR="00FA0F3A" w:rsidRPr="00FA0F3A">
        <w:rPr>
          <w:vertAlign w:val="superscript"/>
        </w:rPr>
        <w:t>10</w:t>
      </w:r>
      <w:r w:rsidRPr="005C43B0">
        <w:t xml:space="preserve"> Hasil penelitian menunjukkan kandungan BOD pada 6 sampel air berada di atas ambang batas yang ditentukan (Kriteria Mutu Air Kelas I PP No. 82/2001) dengan intensitas berat dimana nilai BOD pada masing-masing sampel yaitu sampel A (106mg/l), B (465mg/l), C (155mg/l), D (78mg/l), E (217mg/l), dan sampel F (207mg/l) dengan standar baku mutu 2mg/l.</w:t>
      </w:r>
    </w:p>
    <w:p w:rsidR="00AD40C6" w:rsidRDefault="005C43B0" w:rsidP="00AD40C6">
      <w:pPr>
        <w:autoSpaceDE w:val="0"/>
        <w:autoSpaceDN w:val="0"/>
        <w:adjustRightInd w:val="0"/>
        <w:spacing w:after="0"/>
        <w:rPr>
          <w:rFonts w:eastAsia="TimesNewRoman"/>
        </w:rPr>
      </w:pPr>
      <w:r w:rsidRPr="005C43B0">
        <w:t>Hal ini sejalan dengan TPA Batu Dingin yang menghasilkan parameter BOD di atas nilai baku mutu yang ditentukan.</w:t>
      </w:r>
      <w:r w:rsidR="00AD40C6" w:rsidRPr="00AD40C6">
        <w:rPr>
          <w:vertAlign w:val="superscript"/>
        </w:rPr>
        <w:t>11</w:t>
      </w:r>
      <w:r w:rsidRPr="005C43B0">
        <w:t xml:space="preserve"> Dan penelitian </w:t>
      </w:r>
      <w:r w:rsidRPr="005C43B0">
        <w:rPr>
          <w:bCs/>
        </w:rPr>
        <w:t xml:space="preserve">di </w:t>
      </w:r>
      <w:r w:rsidRPr="005C43B0">
        <w:t>TPA Sampah Suwung dengan hasil kandungan BOD air sumur warga pada 4 sampel yaitu 42,6mg/l, 23,6mg/l, 6,47mg/l, 2,06mg/l</w:t>
      </w:r>
      <w:r w:rsidR="00AD40C6">
        <w:t>.</w:t>
      </w:r>
      <w:r w:rsidR="00DB7856" w:rsidRPr="00DB7856">
        <w:rPr>
          <w:vertAlign w:val="superscript"/>
        </w:rPr>
        <w:t>12</w:t>
      </w:r>
      <w:r w:rsidRPr="005C43B0">
        <w:rPr>
          <w:sz w:val="24"/>
          <w:szCs w:val="24"/>
        </w:rPr>
        <w:t xml:space="preserve"> </w:t>
      </w:r>
    </w:p>
    <w:p w:rsidR="00DB7856" w:rsidRDefault="005C43B0" w:rsidP="00AD40C6">
      <w:pPr>
        <w:autoSpaceDE w:val="0"/>
        <w:autoSpaceDN w:val="0"/>
        <w:adjustRightInd w:val="0"/>
        <w:spacing w:after="0"/>
        <w:rPr>
          <w:rFonts w:eastAsia="TimesNewRoman"/>
        </w:rPr>
      </w:pPr>
      <w:r w:rsidRPr="005C43B0">
        <w:t>Nilai BOD perairan dapat dipengaruhi oleh suhu, densitas plankton, keberadaan mikroba, serta jenis dan kandung</w:t>
      </w:r>
      <w:r w:rsidR="00AD40C6">
        <w:t>an bahan organik</w:t>
      </w:r>
      <w:r w:rsidRPr="005C43B0">
        <w:t>.</w:t>
      </w:r>
      <w:r w:rsidR="00AD40C6" w:rsidRPr="00AD40C6">
        <w:rPr>
          <w:vertAlign w:val="superscript"/>
        </w:rPr>
        <w:t>13</w:t>
      </w:r>
      <w:r w:rsidR="00AD40C6">
        <w:rPr>
          <w:rFonts w:eastAsia="TimesNewRoman"/>
        </w:rPr>
        <w:t xml:space="preserve"> </w:t>
      </w:r>
    </w:p>
    <w:p w:rsidR="00AD40C6" w:rsidRDefault="005C43B0" w:rsidP="00AD40C6">
      <w:pPr>
        <w:autoSpaceDE w:val="0"/>
        <w:autoSpaceDN w:val="0"/>
        <w:adjustRightInd w:val="0"/>
        <w:spacing w:after="0"/>
        <w:rPr>
          <w:rFonts w:eastAsia="TimesNewRoman"/>
        </w:rPr>
      </w:pPr>
      <w:r w:rsidRPr="005C43B0">
        <w:t>Kadar BOD yang tinggi menunjukkan indikasi adanya kegiatan dekomposisi bahan organik yang ti</w:t>
      </w:r>
      <w:r w:rsidR="00AD40C6">
        <w:t>nggi di TPA Batu Layang</w:t>
      </w:r>
      <w:r w:rsidRPr="005C43B0">
        <w:t>. Hal ini mungkin disebabkan karena sebagian besar sampah yang masuk ke TPA adalah sampah organik yang berasal dari pasar dan lingkungan. Kadar BOD yang tinggi dapat mengiritasi mata dan mengganggu system pencernaan manusia sehingga dapat mengakibatkan terjadinya wabah diare, kolera, dan disentri.</w:t>
      </w:r>
    </w:p>
    <w:p w:rsidR="00AD40C6" w:rsidRDefault="005C43B0" w:rsidP="00AD40C6">
      <w:pPr>
        <w:autoSpaceDE w:val="0"/>
        <w:autoSpaceDN w:val="0"/>
        <w:adjustRightInd w:val="0"/>
        <w:spacing w:after="0"/>
        <w:rPr>
          <w:rFonts w:eastAsia="TimesNewRoman"/>
        </w:rPr>
      </w:pPr>
      <w:r w:rsidRPr="005C43B0">
        <w:lastRenderedPageBreak/>
        <w:t>Untuk itu disarankan pada masyarakat sekitar agar tidak membuang air limbah di lingkungan sekitar dan pada pemerintah setempat untuk dapat mengelola limpahan air lindi secara lebih baik agar tidak mencemari air sumur masyarakat sekitar TPA.</w:t>
      </w:r>
    </w:p>
    <w:p w:rsidR="00AD40C6" w:rsidRDefault="00BF7D70" w:rsidP="00AD40C6">
      <w:pPr>
        <w:autoSpaceDE w:val="0"/>
        <w:autoSpaceDN w:val="0"/>
        <w:adjustRightInd w:val="0"/>
        <w:spacing w:after="0"/>
        <w:rPr>
          <w:rFonts w:eastAsia="TimesNewRoman"/>
        </w:rPr>
      </w:pPr>
      <w:r>
        <w:t xml:space="preserve">3. </w:t>
      </w:r>
      <w:r w:rsidR="005C43B0" w:rsidRPr="00BF7D70">
        <w:rPr>
          <w:sz w:val="24"/>
          <w:szCs w:val="24"/>
        </w:rPr>
        <w:t>COD</w:t>
      </w:r>
    </w:p>
    <w:p w:rsidR="00AD40C6" w:rsidRDefault="005C43B0" w:rsidP="0097418A">
      <w:pPr>
        <w:autoSpaceDE w:val="0"/>
        <w:autoSpaceDN w:val="0"/>
        <w:adjustRightInd w:val="0"/>
        <w:spacing w:before="0" w:after="0"/>
      </w:pPr>
      <w:r w:rsidRPr="00BF7D70">
        <w:t>Nilai COD menunjukkan banyaknya oksigen yang diperlukan oleh oksidator kalium dikromat untuk mengoksidasi zat-zat organik yang terkandung dalam air limbah menjadi karbondioksida dan uap air. Dengan kata lain COD merupakan jumlah oksigen terlarut yang</w:t>
      </w:r>
      <w:r w:rsidR="00AD40C6">
        <w:t xml:space="preserve"> digunakan untuk mengurai bahan </w:t>
      </w:r>
      <w:r w:rsidRPr="00BF7D70">
        <w:t>organik yang terkandung dalam perairan</w:t>
      </w:r>
      <w:r w:rsidRPr="00BF7D70">
        <w:rPr>
          <w:sz w:val="24"/>
          <w:szCs w:val="24"/>
        </w:rPr>
        <w:t>.</w:t>
      </w:r>
    </w:p>
    <w:p w:rsidR="00AD40C6" w:rsidRDefault="00AA4EE0" w:rsidP="00AD40C6">
      <w:pPr>
        <w:autoSpaceDE w:val="0"/>
        <w:autoSpaceDN w:val="0"/>
        <w:adjustRightInd w:val="0"/>
        <w:spacing w:after="0"/>
      </w:pPr>
      <w:r w:rsidRPr="00AA4EE0">
        <w:t xml:space="preserve">Dari hasil penelitian diperoleh kandungan COD pada ke 6 sampel sumur responden juga berada di atas ambang batas yaitu masing-masing sampel A (163mg/l), B (716mg/l), C (239mg/l), D (120mg/l), E (334mg/l), dan sampel F (318mg/l) dengan standar baku mutu 10mg/l. </w:t>
      </w:r>
      <w:r w:rsidRPr="00AA4EE0">
        <w:rPr>
          <w:rFonts w:eastAsia="Times New Roman"/>
        </w:rPr>
        <w:t xml:space="preserve">Kadar COD air pada sampel penelitian menunjukkan pada jarak terdekat yaitu 23m (sampel B) menunjukkan kadar COD yang tinggi dan terus menurun pada sampel (A) dan (D) yang jaraknya juga lebih jauh dari sampel (B) Namun kembali naik bahkan terus meningkat pada jarak </w:t>
      </w:r>
      <w:r w:rsidRPr="00AA4EE0">
        <w:t>150.524 m keatas yaitu pada sampel C, F, dan sampel E.</w:t>
      </w:r>
    </w:p>
    <w:p w:rsidR="00DB7856" w:rsidRPr="0097418A" w:rsidRDefault="00AA4EE0" w:rsidP="00DB7856">
      <w:pPr>
        <w:autoSpaceDE w:val="0"/>
        <w:autoSpaceDN w:val="0"/>
        <w:adjustRightInd w:val="0"/>
        <w:spacing w:after="0"/>
        <w:rPr>
          <w:lang w:val="id-ID"/>
        </w:rPr>
      </w:pPr>
      <w:r w:rsidRPr="00AA4EE0">
        <w:t xml:space="preserve">Hal ini tentu saja menandakan terjadinya pencemaran pada air tanah dangkal milik masyarakat di sekitar TPA. Sejalan dengan penelitian </w:t>
      </w:r>
      <w:r w:rsidRPr="00AA4EE0">
        <w:rPr>
          <w:bCs/>
        </w:rPr>
        <w:t xml:space="preserve">yang dilakukan di </w:t>
      </w:r>
      <w:r w:rsidRPr="00AA4EE0">
        <w:t>TPA Sampah Suwung didapatkan hasil kandungan COD air sumur  warga pada 4 sampel berada di atas nilai baku mutu yaitu 87,5mg/l, 52,4mg/l, 13,25mg/l, dan 5,40mg/l.</w:t>
      </w:r>
      <w:r w:rsidR="0097418A" w:rsidRPr="0097418A">
        <w:rPr>
          <w:vertAlign w:val="superscript"/>
          <w:lang w:val="id-ID"/>
        </w:rPr>
        <w:t>12</w:t>
      </w:r>
    </w:p>
    <w:p w:rsidR="00DB7856" w:rsidRDefault="00AA4EE0" w:rsidP="0097418A">
      <w:pPr>
        <w:autoSpaceDE w:val="0"/>
        <w:autoSpaceDN w:val="0"/>
        <w:adjustRightInd w:val="0"/>
        <w:spacing w:after="0"/>
      </w:pPr>
      <w:r w:rsidRPr="00AA4EE0">
        <w:t>Tingginya nilai nilai BOD/COD pada air sumur warga sekitar TPA Batu Layang menunjukkan bahwa, perairan tersebut mengandung banyak bahan organik yang berasal langsung dari lindi TPA ataupun yang berasal dari aliran air tanah. Fluktuasi kadar bahan organik pada parameter-parameter tersebut sangat dipengaruhi oleh komposisi sampah dan aktifitas masyarakat disekitar TPA</w:t>
      </w:r>
      <w:r w:rsidRPr="00342CB2">
        <w:rPr>
          <w:sz w:val="24"/>
          <w:szCs w:val="24"/>
        </w:rPr>
        <w:t>.</w:t>
      </w:r>
    </w:p>
    <w:p w:rsidR="00DB7856" w:rsidRDefault="00AA4EE0" w:rsidP="0097418A">
      <w:pPr>
        <w:autoSpaceDE w:val="0"/>
        <w:autoSpaceDN w:val="0"/>
        <w:adjustRightInd w:val="0"/>
        <w:spacing w:after="0"/>
        <w:rPr>
          <w:rStyle w:val="a"/>
        </w:rPr>
      </w:pPr>
      <w:r w:rsidRPr="00AA4EE0">
        <w:rPr>
          <w:rStyle w:val="a"/>
        </w:rPr>
        <w:t>Kadar BOD/COD yang tinggi juga menunjukkan tingkat pencemaran yang tinggi baik yang bersifat biologi dan bahan kimia. Pencemaran air yang tinggi dapat menjadi sumber penyakit. Kadar COD yang tinggi dapat menyebabkan gatal-gatal atau iritasi pada kulit dikarenakan kandungan bakteri dan mikroorganisme yang juga tinggi. Selain itu dapat juga menyebabkan gangguaan pencernaan.</w:t>
      </w:r>
    </w:p>
    <w:p w:rsidR="00AA4EE0" w:rsidRPr="00F51B4B" w:rsidRDefault="00AA4EE0" w:rsidP="00F51B4B">
      <w:pPr>
        <w:autoSpaceDE w:val="0"/>
        <w:autoSpaceDN w:val="0"/>
        <w:adjustRightInd w:val="0"/>
        <w:spacing w:after="0"/>
        <w:rPr>
          <w:rStyle w:val="a"/>
          <w:lang w:val="id-ID"/>
        </w:rPr>
      </w:pPr>
      <w:r w:rsidRPr="00AA4EE0">
        <w:rPr>
          <w:rStyle w:val="a"/>
        </w:rPr>
        <w:t xml:space="preserve">Untuk itu disarankan kepada pemerintah dapat lebih memperhatikan pengolahan limbah dengan lebih baik lagi agar tidak mencemari sumber air dan masyarakat </w:t>
      </w:r>
      <w:r w:rsidRPr="00AA4EE0">
        <w:rPr>
          <w:rStyle w:val="a"/>
        </w:rPr>
        <w:lastRenderedPageBreak/>
        <w:t>juga lebih menjaga kebersihan lingkungan mereka untuk meminimalisir  pencemaran.</w:t>
      </w:r>
    </w:p>
    <w:p w:rsidR="00AA4EE0" w:rsidRPr="00342CB2" w:rsidRDefault="00AA4EE0" w:rsidP="0097418A">
      <w:pPr>
        <w:autoSpaceDE w:val="0"/>
        <w:autoSpaceDN w:val="0"/>
        <w:adjustRightInd w:val="0"/>
        <w:spacing w:after="0"/>
        <w:rPr>
          <w:rFonts w:eastAsia="TimesNewRoman"/>
          <w:b/>
          <w:sz w:val="24"/>
          <w:szCs w:val="24"/>
        </w:rPr>
      </w:pPr>
      <w:r w:rsidRPr="00342CB2">
        <w:rPr>
          <w:rFonts w:eastAsia="TimesNewRoman"/>
          <w:b/>
          <w:sz w:val="24"/>
          <w:szCs w:val="24"/>
        </w:rPr>
        <w:t>C. Kualitas Biologi</w:t>
      </w:r>
    </w:p>
    <w:p w:rsidR="00DB7856" w:rsidRPr="00F51B4B" w:rsidRDefault="00AA4EE0" w:rsidP="00F51B4B">
      <w:pPr>
        <w:autoSpaceDE w:val="0"/>
        <w:autoSpaceDN w:val="0"/>
        <w:adjustRightInd w:val="0"/>
        <w:spacing w:after="0"/>
        <w:rPr>
          <w:lang w:val="id-ID"/>
        </w:rPr>
      </w:pPr>
      <w:r w:rsidRPr="00AA4EE0">
        <w:t>Analisa mikrobiologi dilakukan berdasarkan organisme petunjuk (</w:t>
      </w:r>
      <w:r w:rsidRPr="00AA4EE0">
        <w:rPr>
          <w:i/>
          <w:iCs/>
        </w:rPr>
        <w:t>indicator organism</w:t>
      </w:r>
      <w:r w:rsidRPr="00AA4EE0">
        <w:t xml:space="preserve">) terhadap pencemaran air. Air sumur pada wilayah penelitian positif mengandung bakteri </w:t>
      </w:r>
      <w:r w:rsidRPr="00AA4EE0">
        <w:rPr>
          <w:i/>
        </w:rPr>
        <w:t>Fecal coli</w:t>
      </w:r>
      <w:r w:rsidRPr="00AA4EE0">
        <w:t xml:space="preserve">. Sementara kandungan total coliformnya berkisar antara 1500-&gt;11000 MPN/100ml. Kandungan bakteri coliform dan </w:t>
      </w:r>
      <w:r w:rsidRPr="00AA4EE0">
        <w:rPr>
          <w:i/>
        </w:rPr>
        <w:t>fecal coli</w:t>
      </w:r>
      <w:r w:rsidRPr="00AA4EE0">
        <w:t xml:space="preserve"> untuk seluruh sampel penelitian menunjukkan telah melampaui ambang batas maksimum yang diperbolehkan menurut kriteria mutu air berdasarkan PP RI Nomor 82 Tahun 2001. Dari hasil penelitian total </w:t>
      </w:r>
      <w:r w:rsidRPr="00AA4EE0">
        <w:rPr>
          <w:i/>
        </w:rPr>
        <w:t>coliform</w:t>
      </w:r>
      <w:r w:rsidRPr="00AA4EE0">
        <w:t xml:space="preserve"> rata-rata memiliki hasil yang sama yaitu &gt;11000 MPN/100ml hanya pada sampel (B) dengan jarak 23m total coliform yaitu 1500 MPN/100ml lebih rendah dari sampel lainnya yang memiliki jarak lebih jauh dari TPAS.</w:t>
      </w:r>
    </w:p>
    <w:p w:rsidR="00762F1C" w:rsidRPr="00F51B4B" w:rsidRDefault="00AA4EE0" w:rsidP="00F51B4B">
      <w:pPr>
        <w:autoSpaceDE w:val="0"/>
        <w:autoSpaceDN w:val="0"/>
        <w:adjustRightInd w:val="0"/>
        <w:spacing w:after="0"/>
        <w:rPr>
          <w:lang w:val="id-ID"/>
        </w:rPr>
      </w:pPr>
      <w:r w:rsidRPr="00762F1C">
        <w:t>Hal ini sejalan dengan penelitian</w:t>
      </w:r>
      <w:r w:rsidR="00762F1C" w:rsidRPr="00762F1C">
        <w:t xml:space="preserve"> t</w:t>
      </w:r>
      <w:r w:rsidRPr="00762F1C">
        <w:t xml:space="preserve">entang analisis bakteri </w:t>
      </w:r>
      <w:r w:rsidRPr="00762F1C">
        <w:rPr>
          <w:i/>
        </w:rPr>
        <w:t>coliform</w:t>
      </w:r>
      <w:r w:rsidRPr="00762F1C">
        <w:t xml:space="preserve"> (fekal dan no fekal) sebagai indikator kualitas perairan sungai Gajah Wong, Daerah Istimewa Yogyakarta yang mengatakan kualitas air sungai Gajah Wong termasuk ke dalam kelas III dan IV yang berarti tercemar dengan intensitas sedang-berat.</w:t>
      </w:r>
      <w:r w:rsidR="0097418A" w:rsidRPr="0097418A">
        <w:rPr>
          <w:vertAlign w:val="superscript"/>
          <w:lang w:val="id-ID"/>
        </w:rPr>
        <w:t>14</w:t>
      </w:r>
    </w:p>
    <w:p w:rsidR="00DB7856" w:rsidRDefault="00762F1C" w:rsidP="00DB7856">
      <w:pPr>
        <w:autoSpaceDE w:val="0"/>
        <w:autoSpaceDN w:val="0"/>
        <w:adjustRightInd w:val="0"/>
        <w:spacing w:after="0"/>
      </w:pPr>
      <w:r w:rsidRPr="00762F1C">
        <w:t xml:space="preserve">Bakteri </w:t>
      </w:r>
      <w:r w:rsidRPr="00762F1C">
        <w:rPr>
          <w:i/>
          <w:iCs/>
        </w:rPr>
        <w:t xml:space="preserve">Coliform </w:t>
      </w:r>
      <w:r w:rsidRPr="00762F1C">
        <w:t xml:space="preserve">dapat digunakan sebagai indikator adanya pencemaran feses atau kotoran manusia dan hewan di dalam  perairan. Oleh sebab itu keberadaannya di dalam air tidak dikehendaki, baik ditinjau dari segi kesehatan, estetika, kebersihan maupun kemungkinan terjadinya infeksi yang berbahaya. Beberapa jenis penyakit dapat ditularkan oleh bakteri </w:t>
      </w:r>
      <w:r w:rsidRPr="00762F1C">
        <w:rPr>
          <w:i/>
          <w:iCs/>
        </w:rPr>
        <w:t xml:space="preserve">coliform </w:t>
      </w:r>
      <w:r w:rsidRPr="00762F1C">
        <w:t>melalui air, terutama penyakit perut seperti tipus, kolera dan disentri</w:t>
      </w:r>
      <w:r w:rsidR="0097418A">
        <w:rPr>
          <w:lang w:val="id-ID"/>
        </w:rPr>
        <w:t>.</w:t>
      </w:r>
      <w:r w:rsidR="0097418A" w:rsidRPr="0097418A">
        <w:rPr>
          <w:vertAlign w:val="superscript"/>
          <w:lang w:val="id-ID"/>
        </w:rPr>
        <w:t>15</w:t>
      </w:r>
      <w:r w:rsidRPr="00762F1C">
        <w:t xml:space="preserve"> </w:t>
      </w:r>
    </w:p>
    <w:p w:rsidR="00762F1C" w:rsidRPr="00F51B4B" w:rsidRDefault="00762F1C" w:rsidP="00F51B4B">
      <w:pPr>
        <w:autoSpaceDE w:val="0"/>
        <w:autoSpaceDN w:val="0"/>
        <w:adjustRightInd w:val="0"/>
        <w:spacing w:after="0"/>
        <w:rPr>
          <w:lang w:val="id-ID"/>
        </w:rPr>
      </w:pPr>
      <w:r w:rsidRPr="00762F1C">
        <w:t xml:space="preserve">Untuk itu perlu di </w:t>
      </w:r>
      <w:r>
        <w:t xml:space="preserve">pengelolaan sampah di TPA </w:t>
      </w:r>
      <w:r w:rsidRPr="00762F1C">
        <w:t>agar tidak mencemari sumber air milik mayarakat. Perlunya penanganan lindi secara efektif dan aman dengan menyediakan sarana dan prasarana pengelolaan lindi yang dibutuhkan. Selain itu perlunya perbaikan konstruksi sumur masyarakat agar tidak mudah tercemar.</w:t>
      </w:r>
    </w:p>
    <w:p w:rsidR="00685C57" w:rsidRDefault="00762F1C" w:rsidP="00F51B4B">
      <w:pPr>
        <w:autoSpaceDE w:val="0"/>
        <w:autoSpaceDN w:val="0"/>
        <w:adjustRightInd w:val="0"/>
        <w:spacing w:after="0"/>
        <w:rPr>
          <w:b/>
          <w:sz w:val="24"/>
          <w:szCs w:val="24"/>
        </w:rPr>
      </w:pPr>
      <w:r w:rsidRPr="00342CB2">
        <w:rPr>
          <w:b/>
          <w:sz w:val="24"/>
          <w:szCs w:val="24"/>
        </w:rPr>
        <w:t>Derajat Kesehatan Masyarakat</w:t>
      </w:r>
    </w:p>
    <w:p w:rsidR="00685C57" w:rsidRDefault="00530BEB" w:rsidP="0097418A">
      <w:pPr>
        <w:autoSpaceDE w:val="0"/>
        <w:autoSpaceDN w:val="0"/>
        <w:adjustRightInd w:val="0"/>
        <w:spacing w:after="0"/>
        <w:rPr>
          <w:b/>
          <w:sz w:val="24"/>
          <w:szCs w:val="24"/>
        </w:rPr>
      </w:pPr>
      <w:r w:rsidRPr="00685C57">
        <w:t>43,5% responden mengalami penurunan status kesehatan atau menderita sakit</w:t>
      </w:r>
      <w:r w:rsidR="00685C57">
        <w:t xml:space="preserve"> pada</w:t>
      </w:r>
      <w:r w:rsidRPr="00685C57">
        <w:t xml:space="preserve"> 3 bulan terakhir. 19,6% responden mengalami gejala diare, dan 43,5% responden mengalami sakit kulit dan jamur.</w:t>
      </w:r>
      <w:r w:rsidR="00685C57">
        <w:t xml:space="preserve"> S</w:t>
      </w:r>
      <w:r w:rsidRPr="00685C57">
        <w:t>ebagian besar yang menderita sakit diare adalah anak-anak terutama balita. Sedangkan penyakit kulit j</w:t>
      </w:r>
      <w:r w:rsidR="00685C57">
        <w:t>uga menyerang orang dewasa. R</w:t>
      </w:r>
      <w:r w:rsidRPr="00685C57">
        <w:t>esponden yang memiliki jarak rumah yang jauh dari TPA cenderung lebih banyak mengalami</w:t>
      </w:r>
      <w:r w:rsidRPr="00342CB2">
        <w:rPr>
          <w:sz w:val="24"/>
          <w:szCs w:val="24"/>
        </w:rPr>
        <w:t xml:space="preserve"> </w:t>
      </w:r>
      <w:r w:rsidRPr="00685C57">
        <w:t xml:space="preserve">morbiditas dibandingkan dengan yang jarak rumahnya dekat. Hal ini dikaitkan dengan </w:t>
      </w:r>
      <w:r w:rsidRPr="00685C57">
        <w:lastRenderedPageBreak/>
        <w:t>hasil laboratorium yang menunjukkan kualitas air sumur kembali menurun atau pencemaran kembali meningkat pada jarak 100 meter ke atas.</w:t>
      </w:r>
    </w:p>
    <w:p w:rsidR="000619A1" w:rsidRPr="003C0D4C" w:rsidRDefault="00685C57" w:rsidP="000619A1">
      <w:pPr>
        <w:autoSpaceDE w:val="0"/>
        <w:autoSpaceDN w:val="0"/>
        <w:adjustRightInd w:val="0"/>
        <w:spacing w:after="0"/>
        <w:rPr>
          <w:b/>
          <w:lang w:val="id-ID"/>
        </w:rPr>
      </w:pPr>
      <w:r w:rsidRPr="00685C57">
        <w:t xml:space="preserve">Begitu juga penelitian pada </w:t>
      </w:r>
      <w:r w:rsidR="00530BEB" w:rsidRPr="00685C57">
        <w:t xml:space="preserve">Masyarakat sekitar TPA putri Cempo </w:t>
      </w:r>
      <w:r w:rsidRPr="00685C57">
        <w:t xml:space="preserve">yang </w:t>
      </w:r>
      <w:r w:rsidR="00530BEB" w:rsidRPr="00685C57">
        <w:t xml:space="preserve">sebagian besar dan frekuensinya sering adalah menderita batuk/pilek sebanyak 54 </w:t>
      </w:r>
      <w:r w:rsidR="00530BEB" w:rsidRPr="000619A1">
        <w:t>orang atau 52,9%, sedangkan yang menderita gatal – gatal sebanyak 21 orang (20,6%).</w:t>
      </w:r>
      <w:r w:rsidR="003C0D4C" w:rsidRPr="003C0D4C">
        <w:rPr>
          <w:vertAlign w:val="superscript"/>
          <w:lang w:val="id-ID"/>
        </w:rPr>
        <w:t>16</w:t>
      </w:r>
      <w:r w:rsidR="00530BEB" w:rsidRPr="000619A1">
        <w:t xml:space="preserve"> </w:t>
      </w:r>
      <w:r w:rsidRPr="000619A1">
        <w:t xml:space="preserve">Begitu juda di </w:t>
      </w:r>
      <w:r w:rsidR="00530BEB" w:rsidRPr="000619A1">
        <w:t>TPA Sukajaya Kota Palembang yang menyatakan penyakit masyarakat sekitar TPA didominasi oleh penyakit berbasis lingkungan, yaitu ISPA dan penyakit pencemaan (&gt; 60 %).</w:t>
      </w:r>
      <w:r w:rsidR="003C0D4C" w:rsidRPr="003C0D4C">
        <w:rPr>
          <w:vertAlign w:val="superscript"/>
          <w:lang w:val="id-ID"/>
        </w:rPr>
        <w:t>17</w:t>
      </w:r>
    </w:p>
    <w:p w:rsidR="000619A1" w:rsidRDefault="00530BEB" w:rsidP="000619A1">
      <w:pPr>
        <w:autoSpaceDE w:val="0"/>
        <w:autoSpaceDN w:val="0"/>
        <w:adjustRightInd w:val="0"/>
        <w:spacing w:after="0"/>
      </w:pPr>
      <w:r w:rsidRPr="000619A1">
        <w:t>Buruknya kualitas air sumur wilayah sekitar TPA (terutama di enam titik pengambilan sampel air sumur warga) juga sangat dipengaruhi oleh sifat dan perilaku masyarakat yang kurang peduli terhadap kebersihan lingkungan. Hal ini terlihat dari lingkungan rumah responden yang terlihat kotor. Selain itu banyak juga masyarakat yang bermata pencaharian sebagai pemulung, sehingga hal ini memacu terkumpulnya banyak sampah yang mereka ambil dari TPA.</w:t>
      </w:r>
      <w:r w:rsidRPr="00342CB2">
        <w:rPr>
          <w:sz w:val="24"/>
          <w:szCs w:val="24"/>
        </w:rPr>
        <w:t xml:space="preserve"> </w:t>
      </w:r>
      <w:r w:rsidRPr="000619A1">
        <w:t>Keadaan lingkungan akan lebih buruk ketika turun hujan, sehingga sampah-sampah ikut terbawa genangan air dan akan mempercepat proses penguraiannya.</w:t>
      </w:r>
    </w:p>
    <w:p w:rsidR="000619A1" w:rsidRPr="00F51B4B" w:rsidRDefault="000619A1" w:rsidP="00F51B4B">
      <w:pPr>
        <w:autoSpaceDE w:val="0"/>
        <w:autoSpaceDN w:val="0"/>
        <w:adjustRightInd w:val="0"/>
        <w:spacing w:after="0"/>
        <w:rPr>
          <w:lang w:val="id-ID"/>
        </w:rPr>
      </w:pPr>
      <w:r w:rsidRPr="000619A1">
        <w:t>Kondisi air sumur gali milik masyarakat menunjukkan terjadinya penurunan kualitas air baik secara fisik, kimia, maupun biologi. Hal ini tentu saja dapat berdampak buruk bagi kesehatan masyarakat. Untuk itu disarankan kepada masyarakat untuk dapat mengolah sumber air lebih lanjut dan menjaga kebersihan diri dan lingkungan agar dapat terhindar dari berbagai macam keluhan penyakit.</w:t>
      </w:r>
    </w:p>
    <w:p w:rsidR="000619A1" w:rsidRDefault="000619A1" w:rsidP="00F51B4B">
      <w:pPr>
        <w:autoSpaceDE w:val="0"/>
        <w:autoSpaceDN w:val="0"/>
        <w:adjustRightInd w:val="0"/>
        <w:spacing w:after="0"/>
        <w:rPr>
          <w:b/>
          <w:sz w:val="24"/>
          <w:szCs w:val="24"/>
        </w:rPr>
      </w:pPr>
      <w:r w:rsidRPr="00342CB2">
        <w:rPr>
          <w:b/>
          <w:sz w:val="24"/>
          <w:szCs w:val="24"/>
        </w:rPr>
        <w:t>Kebiasaan MCK Responden</w:t>
      </w:r>
    </w:p>
    <w:p w:rsidR="000619A1" w:rsidRPr="000619A1" w:rsidRDefault="000619A1" w:rsidP="000619A1">
      <w:pPr>
        <w:tabs>
          <w:tab w:val="left" w:pos="810"/>
        </w:tabs>
        <w:autoSpaceDE w:val="0"/>
        <w:autoSpaceDN w:val="0"/>
        <w:adjustRightInd w:val="0"/>
        <w:spacing w:after="0"/>
      </w:pPr>
      <w:r w:rsidRPr="000619A1">
        <w:t>Masyarakt di Kelurahan Batu Layang menunjukkan bahwa 100% sumber air responden berasal dari sumur gali yang digunakan masyarakat untuk memenuhi kebutuhan sehari-hari. Kondisi jarak pencemaran yang masih banyak tidak memenuhi</w:t>
      </w:r>
      <w:r>
        <w:t xml:space="preserve"> syarat kesehatan juga ditambah</w:t>
      </w:r>
      <w:r w:rsidRPr="000619A1">
        <w:t xml:space="preserve"> kondisi SPAL yang menjadi sumber cemaran bagi responden.</w:t>
      </w:r>
    </w:p>
    <w:p w:rsidR="000619A1" w:rsidRPr="000619A1" w:rsidRDefault="000619A1" w:rsidP="000619A1">
      <w:pPr>
        <w:tabs>
          <w:tab w:val="left" w:pos="810"/>
        </w:tabs>
        <w:autoSpaceDE w:val="0"/>
        <w:autoSpaceDN w:val="0"/>
        <w:adjustRightInd w:val="0"/>
        <w:spacing w:after="0"/>
      </w:pPr>
      <w:r w:rsidRPr="000619A1">
        <w:t>Dampak dari kondisi itu tentu saja berpengaruh tingkat derajat kesehatan karena sanitasi yang buruk membuat responden banyak yang mengalami peningkatan kasus diare dan penyakit kulit.</w:t>
      </w:r>
    </w:p>
    <w:p w:rsidR="000619A1" w:rsidRPr="003C0D4C" w:rsidRDefault="000619A1" w:rsidP="000619A1">
      <w:pPr>
        <w:tabs>
          <w:tab w:val="left" w:pos="810"/>
        </w:tabs>
        <w:autoSpaceDE w:val="0"/>
        <w:autoSpaceDN w:val="0"/>
        <w:adjustRightInd w:val="0"/>
        <w:spacing w:after="0"/>
        <w:rPr>
          <w:lang w:val="id-ID"/>
        </w:rPr>
      </w:pPr>
      <w:r w:rsidRPr="000619A1">
        <w:t>Hal ini sejalan dengan penelitian di Kelurahan Singorejo Kecamatan Demak Ka</w:t>
      </w:r>
      <w:r>
        <w:t xml:space="preserve">bupaten Demak yang </w:t>
      </w:r>
      <w:r w:rsidRPr="000619A1">
        <w:t xml:space="preserve">menunjukkan bahwa sebagian besar masyarakat di kelurahan singorejo memanfaatkan sungai jajar untuk aktivitas mandi, cuci dan kakus yang masih rendah dan sarana mandi, cuci, dan kakus belum </w:t>
      </w:r>
      <w:r w:rsidRPr="000619A1">
        <w:lastRenderedPageBreak/>
        <w:t>dirasakan sebagai kebutuhan yang mendasar bagi hidup bersih dan sehat.</w:t>
      </w:r>
      <w:r w:rsidR="003C0D4C" w:rsidRPr="003C0D4C">
        <w:rPr>
          <w:vertAlign w:val="superscript"/>
          <w:lang w:val="id-ID"/>
        </w:rPr>
        <w:t>18</w:t>
      </w:r>
    </w:p>
    <w:p w:rsidR="000619A1" w:rsidRDefault="000619A1" w:rsidP="000619A1">
      <w:pPr>
        <w:tabs>
          <w:tab w:val="left" w:pos="810"/>
        </w:tabs>
        <w:autoSpaceDE w:val="0"/>
        <w:autoSpaceDN w:val="0"/>
        <w:adjustRightInd w:val="0"/>
        <w:spacing w:after="0"/>
      </w:pPr>
      <w:r>
        <w:t>K</w:t>
      </w:r>
      <w:r w:rsidRPr="000619A1">
        <w:t xml:space="preserve">etersediaan sumber air di Kelurahan Batu Layang untuk memenuhi kebutuhan sehari-hari belumlah memadai. Hal ini dilihat dari penggunaan sumur gali untuk memenuhi kebutuhan sehari-hari warga sekitar. </w:t>
      </w:r>
      <w:r>
        <w:t>F</w:t>
      </w:r>
      <w:r w:rsidRPr="000619A1">
        <w:t>aktor yang melatarbelakangi pemanfaatan air sumur gali sebagai tempat MCK yang dilakukan oleh masyarakat di Kelurahan Batu Layang disebabkan oleh beberapa faktor antara lain, kebutuhan terhadap air, dan untuk menghemat biaya.</w:t>
      </w:r>
    </w:p>
    <w:p w:rsidR="000619A1" w:rsidRDefault="000619A1" w:rsidP="000619A1">
      <w:pPr>
        <w:tabs>
          <w:tab w:val="left" w:pos="810"/>
        </w:tabs>
        <w:autoSpaceDE w:val="0"/>
        <w:autoSpaceDN w:val="0"/>
        <w:adjustRightInd w:val="0"/>
        <w:spacing w:after="0"/>
      </w:pPr>
      <w:r w:rsidRPr="000619A1">
        <w:t xml:space="preserve">Kepadatan pemukiman penduduk, tingkat pendidikan, dan penghasilan yang relatif rendah membuat belum dirasakannya sarana air yang bersih dan nyaman untuk sarana mandi, cuci dan kakus. Di samping itu perilaku </w:t>
      </w:r>
      <w:r w:rsidRPr="000619A1">
        <w:rPr>
          <w:i/>
          <w:iCs/>
        </w:rPr>
        <w:t xml:space="preserve">hygiene </w:t>
      </w:r>
      <w:r w:rsidRPr="000619A1">
        <w:t>perseorangan yang juga terbilang kurang mengakibatkan warga sekitar tidak memperdulikan kondisi air sumur yang telah tercemar tersebut.</w:t>
      </w:r>
      <w:r w:rsidRPr="00342CB2">
        <w:rPr>
          <w:sz w:val="24"/>
          <w:szCs w:val="24"/>
        </w:rPr>
        <w:t xml:space="preserve"> </w:t>
      </w:r>
    </w:p>
    <w:p w:rsidR="000619A1" w:rsidRPr="000619A1" w:rsidRDefault="000619A1" w:rsidP="000619A1">
      <w:pPr>
        <w:tabs>
          <w:tab w:val="left" w:pos="810"/>
        </w:tabs>
        <w:autoSpaceDE w:val="0"/>
        <w:autoSpaceDN w:val="0"/>
        <w:adjustRightInd w:val="0"/>
        <w:spacing w:after="0"/>
      </w:pPr>
      <w:r w:rsidRPr="000619A1">
        <w:t>Untuk itu disarankan kepada instansi terkait untuk dapat memberikan pendidikan kesehatan atau penyuluhan agar masyarakat akan mengetahui dampak kesehatan yang akan mereka hadapi dengan menggunakan sumber air tercemar untuk keperluan sehari-hari. Dimana hal ini diharapkan untuk menumbuhkan kesadaran masyarakat untuk hidup bersih dan sehat.</w:t>
      </w:r>
    </w:p>
    <w:p w:rsidR="000619A1" w:rsidRPr="000619A1" w:rsidRDefault="000619A1" w:rsidP="003C0D4C">
      <w:pPr>
        <w:autoSpaceDE w:val="0"/>
        <w:autoSpaceDN w:val="0"/>
        <w:adjustRightInd w:val="0"/>
        <w:spacing w:before="0" w:after="0"/>
      </w:pPr>
    </w:p>
    <w:p w:rsidR="000619A1" w:rsidRPr="000619A1" w:rsidRDefault="00784522" w:rsidP="003C0D4C">
      <w:pPr>
        <w:autoSpaceDE w:val="0"/>
        <w:autoSpaceDN w:val="0"/>
        <w:adjustRightInd w:val="0"/>
        <w:spacing w:before="0" w:after="0"/>
        <w:jc w:val="center"/>
        <w:rPr>
          <w:b/>
        </w:rPr>
      </w:pPr>
      <w:r w:rsidRPr="00274442">
        <w:rPr>
          <w:b/>
          <w:sz w:val="32"/>
          <w:szCs w:val="32"/>
        </w:rPr>
        <w:t>KESIMPULAN</w:t>
      </w:r>
    </w:p>
    <w:p w:rsidR="00784522" w:rsidRDefault="00784522" w:rsidP="00784522">
      <w:pPr>
        <w:autoSpaceDE w:val="0"/>
        <w:autoSpaceDN w:val="0"/>
        <w:adjustRightInd w:val="0"/>
      </w:pPr>
      <w:r w:rsidRPr="00784522">
        <w:t>1. T</w:t>
      </w:r>
      <w:r w:rsidRPr="00784522">
        <w:rPr>
          <w:rFonts w:eastAsia="TimesNewRoman"/>
        </w:rPr>
        <w:t xml:space="preserve">ingkat pendidikan responden &lt;SMP (60,9 %). </w:t>
      </w:r>
      <w:r w:rsidRPr="00784522">
        <w:t>Pekerjaan sebagai karyawan/buruh/pemulung (58,7%) dengan penghasilan &lt;UMR (63,0%).</w:t>
      </w:r>
    </w:p>
    <w:p w:rsidR="00784522" w:rsidRDefault="00784522" w:rsidP="00784522">
      <w:pPr>
        <w:autoSpaceDE w:val="0"/>
        <w:autoSpaceDN w:val="0"/>
        <w:adjustRightInd w:val="0"/>
      </w:pPr>
      <w:r w:rsidRPr="00784522">
        <w:t xml:space="preserve">2. Jarak rumah masyarakat yang paling dekat yaitu pada jarak 23m dari TPA dan yang paling jauh berjarak 283m dari TPA. </w:t>
      </w:r>
    </w:p>
    <w:p w:rsidR="00784522" w:rsidRDefault="00784522" w:rsidP="00784522">
      <w:pPr>
        <w:autoSpaceDE w:val="0"/>
        <w:autoSpaceDN w:val="0"/>
        <w:adjustRightInd w:val="0"/>
      </w:pPr>
      <w:r w:rsidRPr="00784522">
        <w:t xml:space="preserve">3. Kualitas air sumur wilayah sekitar TPA Batu Layang Pontianak telah melampaui ambang batas maksimum. 100% tingkat kekeruhan air, kandungan BOD, kandungan COD, dan total </w:t>
      </w:r>
      <w:r w:rsidRPr="00784522">
        <w:rPr>
          <w:i/>
        </w:rPr>
        <w:t>coliform</w:t>
      </w:r>
      <w:r w:rsidRPr="00784522">
        <w:t xml:space="preserve"> sumur gali responden memiliki nilai di atas baku mutu.</w:t>
      </w:r>
    </w:p>
    <w:p w:rsidR="00784522" w:rsidRDefault="00784522" w:rsidP="00784522">
      <w:pPr>
        <w:autoSpaceDE w:val="0"/>
        <w:autoSpaceDN w:val="0"/>
        <w:adjustRightInd w:val="0"/>
      </w:pPr>
      <w:r w:rsidRPr="00784522">
        <w:t xml:space="preserve">4. 43,5 % responden mengalami penurunan kesehatan, </w:t>
      </w:r>
      <w:r w:rsidRPr="00784522">
        <w:rPr>
          <w:rFonts w:eastAsia="TimesNewRoman"/>
        </w:rPr>
        <w:t>19,6% responden mengalami gejala diare, 77,7% diantaranya adalah anak-anak. Dan 43,5% responden mengalami sakit kulit/jamur.</w:t>
      </w:r>
    </w:p>
    <w:p w:rsidR="00784522" w:rsidRPr="00784522" w:rsidRDefault="00784522" w:rsidP="00784522">
      <w:pPr>
        <w:autoSpaceDE w:val="0"/>
        <w:autoSpaceDN w:val="0"/>
        <w:adjustRightInd w:val="0"/>
      </w:pPr>
      <w:r w:rsidRPr="00784522">
        <w:t>5. 100% responden menggunakan air sumur gali untuk MCK. 4,4% responden yang telah memasang layanan PDAM, masih menggunakan air sumur sebagai sumber air terlebih pada saat musim kemarau.</w:t>
      </w:r>
    </w:p>
    <w:p w:rsidR="00A02401" w:rsidRDefault="00A02401" w:rsidP="00F51B4B">
      <w:pPr>
        <w:autoSpaceDE w:val="0"/>
        <w:autoSpaceDN w:val="0"/>
        <w:adjustRightInd w:val="0"/>
        <w:spacing w:before="0" w:after="0"/>
        <w:jc w:val="center"/>
        <w:rPr>
          <w:b/>
          <w:bCs/>
          <w:sz w:val="24"/>
          <w:szCs w:val="24"/>
          <w:lang w:val="id-ID"/>
        </w:rPr>
      </w:pPr>
    </w:p>
    <w:p w:rsidR="00127FCF" w:rsidRPr="00F51B4B" w:rsidRDefault="00784522" w:rsidP="00F51B4B">
      <w:pPr>
        <w:autoSpaceDE w:val="0"/>
        <w:autoSpaceDN w:val="0"/>
        <w:adjustRightInd w:val="0"/>
        <w:spacing w:before="0" w:after="0"/>
        <w:jc w:val="center"/>
        <w:rPr>
          <w:b/>
          <w:bCs/>
          <w:sz w:val="24"/>
          <w:szCs w:val="24"/>
          <w:lang w:val="id-ID"/>
        </w:rPr>
      </w:pPr>
      <w:r w:rsidRPr="00784522">
        <w:rPr>
          <w:b/>
          <w:bCs/>
          <w:sz w:val="24"/>
          <w:szCs w:val="24"/>
        </w:rPr>
        <w:lastRenderedPageBreak/>
        <w:t>SARAN</w:t>
      </w:r>
    </w:p>
    <w:p w:rsidR="003C0D4C" w:rsidRPr="003C0D4C" w:rsidRDefault="00784522" w:rsidP="003C0D4C">
      <w:pPr>
        <w:pStyle w:val="ListParagraph"/>
        <w:numPr>
          <w:ilvl w:val="0"/>
          <w:numId w:val="20"/>
        </w:numPr>
        <w:autoSpaceDE w:val="0"/>
        <w:autoSpaceDN w:val="0"/>
        <w:adjustRightInd w:val="0"/>
        <w:spacing w:after="0"/>
        <w:ind w:left="284" w:hanging="284"/>
        <w:rPr>
          <w:b/>
          <w:bCs/>
          <w:lang w:val="id-ID"/>
        </w:rPr>
      </w:pPr>
      <w:r w:rsidRPr="00784522">
        <w:t xml:space="preserve">Kepada masyarakat agar dapat melakukan pengolahan air menjadi air bersih dengan proses penyaringan atau pengendapan sebelum digunakan, atau dengan memberi tawas/PAC untuk mengatasi kekeruhan air. </w:t>
      </w:r>
    </w:p>
    <w:p w:rsidR="003C0D4C" w:rsidRPr="003C0D4C" w:rsidRDefault="00784522" w:rsidP="00784522">
      <w:pPr>
        <w:pStyle w:val="ListParagraph"/>
        <w:numPr>
          <w:ilvl w:val="0"/>
          <w:numId w:val="20"/>
        </w:numPr>
        <w:autoSpaceDE w:val="0"/>
        <w:autoSpaceDN w:val="0"/>
        <w:adjustRightInd w:val="0"/>
        <w:spacing w:before="0" w:after="0"/>
        <w:ind w:left="284" w:hanging="284"/>
        <w:rPr>
          <w:b/>
          <w:bCs/>
        </w:rPr>
      </w:pPr>
      <w:r w:rsidRPr="00784522">
        <w:t>Perlunya kesadaran masyarakat untk menerapkan PHBS. Terutama memperhatikan kebersihan lingkungan sekitar rumah mereka dan kebersihan pribadi (</w:t>
      </w:r>
      <w:r w:rsidRPr="003C0D4C">
        <w:rPr>
          <w:i/>
        </w:rPr>
        <w:t>personal hygiene</w:t>
      </w:r>
      <w:r w:rsidRPr="00784522">
        <w:t>).</w:t>
      </w:r>
    </w:p>
    <w:p w:rsidR="003C0D4C" w:rsidRPr="003C0D4C" w:rsidRDefault="00784522" w:rsidP="00784522">
      <w:pPr>
        <w:pStyle w:val="ListParagraph"/>
        <w:numPr>
          <w:ilvl w:val="0"/>
          <w:numId w:val="20"/>
        </w:numPr>
        <w:autoSpaceDE w:val="0"/>
        <w:autoSpaceDN w:val="0"/>
        <w:adjustRightInd w:val="0"/>
        <w:spacing w:before="0" w:after="0"/>
        <w:ind w:left="284" w:hanging="284"/>
        <w:rPr>
          <w:b/>
          <w:bCs/>
        </w:rPr>
      </w:pPr>
      <w:r w:rsidRPr="00784522">
        <w:t>Kepada Dinas Kebersihan perlu melakukan optimalisasi penanganan Air lindi (</w:t>
      </w:r>
      <w:r w:rsidRPr="003C0D4C">
        <w:rPr>
          <w:i/>
          <w:iCs/>
        </w:rPr>
        <w:t>leachate</w:t>
      </w:r>
      <w:r w:rsidRPr="00784522">
        <w:t>) yang dihasilkan akibat timbunan sampah dari TPA. Perlunya sistem drainase lindi yang permanen, untuk mencegah peresapan air lindi masuk ke lingkungan sekitarnya.</w:t>
      </w:r>
    </w:p>
    <w:p w:rsidR="00784522" w:rsidRPr="003C0D4C" w:rsidRDefault="00784522" w:rsidP="00784522">
      <w:pPr>
        <w:pStyle w:val="ListParagraph"/>
        <w:numPr>
          <w:ilvl w:val="0"/>
          <w:numId w:val="20"/>
        </w:numPr>
        <w:autoSpaceDE w:val="0"/>
        <w:autoSpaceDN w:val="0"/>
        <w:adjustRightInd w:val="0"/>
        <w:spacing w:before="0" w:after="0"/>
        <w:ind w:left="284" w:hanging="284"/>
        <w:rPr>
          <w:b/>
          <w:bCs/>
        </w:rPr>
      </w:pPr>
      <w:r w:rsidRPr="00784522">
        <w:t>Kepada pelayanan kesehatan dapat memberikan pendidikan kesehatan atau penyuluhan agar masyarakat akan mengetahui dampak kesehatan yang akan mereka hadapi dengan menggunakan sumber air tercemar untuk keperluan sehari-hari.</w:t>
      </w:r>
    </w:p>
    <w:p w:rsidR="00784522" w:rsidRPr="00784522" w:rsidRDefault="00784522" w:rsidP="00784522">
      <w:pPr>
        <w:autoSpaceDE w:val="0"/>
        <w:autoSpaceDN w:val="0"/>
        <w:adjustRightInd w:val="0"/>
        <w:spacing w:before="0" w:after="0"/>
        <w:rPr>
          <w:b/>
          <w:bCs/>
        </w:rPr>
      </w:pPr>
    </w:p>
    <w:p w:rsidR="007B148D" w:rsidRPr="00F51B4B" w:rsidRDefault="00784522" w:rsidP="00F51B4B">
      <w:pPr>
        <w:spacing w:before="0" w:after="0"/>
        <w:jc w:val="center"/>
        <w:rPr>
          <w:b/>
          <w:sz w:val="24"/>
          <w:szCs w:val="24"/>
          <w:lang w:val="id-ID"/>
        </w:rPr>
      </w:pPr>
      <w:r w:rsidRPr="00784522">
        <w:rPr>
          <w:b/>
          <w:sz w:val="24"/>
          <w:szCs w:val="24"/>
        </w:rPr>
        <w:t>DAFTAR PUSTAKA</w:t>
      </w:r>
    </w:p>
    <w:p w:rsidR="00127FCF" w:rsidRPr="00AD40C6" w:rsidRDefault="007B148D" w:rsidP="00AD40C6">
      <w:pPr>
        <w:pStyle w:val="ListParagraph"/>
        <w:numPr>
          <w:ilvl w:val="0"/>
          <w:numId w:val="18"/>
        </w:numPr>
        <w:spacing w:after="0"/>
        <w:ind w:left="284" w:hanging="284"/>
        <w:rPr>
          <w:b/>
        </w:rPr>
      </w:pPr>
      <w:r w:rsidRPr="00AD40C6">
        <w:rPr>
          <w:color w:val="000000" w:themeColor="text1"/>
        </w:rPr>
        <w:t xml:space="preserve">Notoatmodjo, Soekidjo, 2007. </w:t>
      </w:r>
      <w:r w:rsidRPr="00AD40C6">
        <w:rPr>
          <w:i/>
          <w:color w:val="000000" w:themeColor="text1"/>
        </w:rPr>
        <w:t>Kesehatan masyarakat : Ilmu dan Seni</w:t>
      </w:r>
      <w:r w:rsidRPr="00AD40C6">
        <w:rPr>
          <w:color w:val="000000" w:themeColor="text1"/>
        </w:rPr>
        <w:t xml:space="preserve"> . Jakarta : Rineka  Cipta.</w:t>
      </w:r>
    </w:p>
    <w:p w:rsidR="00127FCF" w:rsidRPr="00AD40C6" w:rsidRDefault="00127FCF" w:rsidP="00AD40C6">
      <w:pPr>
        <w:pStyle w:val="ListParagraph"/>
        <w:numPr>
          <w:ilvl w:val="0"/>
          <w:numId w:val="18"/>
        </w:numPr>
        <w:spacing w:before="0" w:after="0"/>
        <w:ind w:left="284" w:hanging="284"/>
        <w:rPr>
          <w:b/>
        </w:rPr>
      </w:pPr>
      <w:r w:rsidRPr="00AD40C6">
        <w:rPr>
          <w:rFonts w:eastAsia="Times New Roman"/>
        </w:rPr>
        <w:t xml:space="preserve">Sarudji. D &amp; Keman, S., 2010. </w:t>
      </w:r>
      <w:r w:rsidRPr="00AD40C6">
        <w:rPr>
          <w:rFonts w:eastAsia="Times New Roman"/>
          <w:i/>
        </w:rPr>
        <w:t>Kesehatan Lingkungan</w:t>
      </w:r>
      <w:r w:rsidRPr="00AD40C6">
        <w:rPr>
          <w:rFonts w:eastAsia="Times New Roman"/>
        </w:rPr>
        <w:t>. Bandung: Penerbit CV. Karya Putra</w:t>
      </w:r>
      <w:r w:rsidRPr="00AD40C6">
        <w:rPr>
          <w:bCs/>
        </w:rPr>
        <w:t xml:space="preserve"> </w:t>
      </w:r>
      <w:r w:rsidRPr="00AD40C6">
        <w:rPr>
          <w:rFonts w:eastAsia="Times New Roman"/>
        </w:rPr>
        <w:t>Darwati.</w:t>
      </w:r>
    </w:p>
    <w:p w:rsidR="00127FCF" w:rsidRPr="00AD40C6" w:rsidRDefault="00127FCF" w:rsidP="00AD40C6">
      <w:pPr>
        <w:pStyle w:val="ListParagraph"/>
        <w:numPr>
          <w:ilvl w:val="0"/>
          <w:numId w:val="18"/>
        </w:numPr>
        <w:spacing w:before="0" w:after="0"/>
        <w:ind w:left="284" w:hanging="284"/>
        <w:rPr>
          <w:b/>
        </w:rPr>
      </w:pPr>
      <w:r w:rsidRPr="00AD40C6">
        <w:t xml:space="preserve">Sedigul, Muhammad. </w:t>
      </w:r>
      <w:r w:rsidRPr="00AD40C6">
        <w:rPr>
          <w:i/>
        </w:rPr>
        <w:t>Pencemaran Air Tanah Dangkal Akibat Lindi TPA Sampah</w:t>
      </w:r>
      <w:r w:rsidRPr="00AD40C6">
        <w:t>, Journal Of</w:t>
      </w:r>
      <w:r w:rsidRPr="00AD40C6">
        <w:rPr>
          <w:bCs/>
        </w:rPr>
        <w:t xml:space="preserve"> </w:t>
      </w:r>
      <w:r w:rsidRPr="00AD40C6">
        <w:t>Environmental Science;2011.</w:t>
      </w:r>
    </w:p>
    <w:p w:rsidR="00127FCF" w:rsidRPr="00AD40C6" w:rsidRDefault="00127FCF" w:rsidP="00AD40C6">
      <w:pPr>
        <w:pStyle w:val="ListParagraph"/>
        <w:numPr>
          <w:ilvl w:val="0"/>
          <w:numId w:val="18"/>
        </w:numPr>
        <w:spacing w:before="0" w:after="0"/>
        <w:ind w:left="284" w:hanging="284"/>
        <w:rPr>
          <w:b/>
        </w:rPr>
      </w:pPr>
      <w:r w:rsidRPr="00AD40C6">
        <w:rPr>
          <w:rFonts w:eastAsia="Times New Roman"/>
        </w:rPr>
        <w:t>Monografi Kelurahan, 2013.</w:t>
      </w:r>
      <w:r w:rsidRPr="00AD40C6">
        <w:t xml:space="preserve"> </w:t>
      </w:r>
      <w:r w:rsidRPr="00AD40C6">
        <w:rPr>
          <w:i/>
        </w:rPr>
        <w:t>Buku Monografi Kelurahan</w:t>
      </w:r>
      <w:r w:rsidRPr="00AD40C6">
        <w:t xml:space="preserve"> Keadaan Pada Bulan Juni Tahun 2013.</w:t>
      </w:r>
    </w:p>
    <w:p w:rsidR="00127FCF" w:rsidRPr="00AD40C6" w:rsidRDefault="00127FCF" w:rsidP="00AD40C6">
      <w:pPr>
        <w:pStyle w:val="ListParagraph"/>
        <w:numPr>
          <w:ilvl w:val="0"/>
          <w:numId w:val="18"/>
        </w:numPr>
        <w:spacing w:before="0" w:after="0"/>
        <w:ind w:left="284" w:hanging="284"/>
        <w:rPr>
          <w:b/>
        </w:rPr>
      </w:pPr>
      <w:r w:rsidRPr="00AD40C6">
        <w:t xml:space="preserve">Profil TPA Batu Layang, 2013. </w:t>
      </w:r>
      <w:r w:rsidRPr="00AD40C6">
        <w:rPr>
          <w:i/>
          <w:lang w:val="fi-FI"/>
        </w:rPr>
        <w:t>Kedudukan,Susunan Organisasi, Tugas Pokok,Fungsi Dan Tata Kerja Unit Pelaksana Teknis Daerah (UPTD) Pengelolaan TPA Sampah Dan Limbah</w:t>
      </w:r>
      <w:r w:rsidRPr="00AD40C6">
        <w:rPr>
          <w:lang w:val="fi-FI"/>
        </w:rPr>
        <w:t>. Dinas Kebersihan Dan Pertamanan Kota Pontianak.</w:t>
      </w:r>
    </w:p>
    <w:p w:rsidR="005A74B7" w:rsidRPr="00AD40C6" w:rsidRDefault="00127FCF" w:rsidP="00AD40C6">
      <w:pPr>
        <w:pStyle w:val="ListParagraph"/>
        <w:numPr>
          <w:ilvl w:val="0"/>
          <w:numId w:val="18"/>
        </w:numPr>
        <w:spacing w:before="0" w:after="0"/>
        <w:ind w:left="284" w:hanging="284"/>
        <w:rPr>
          <w:b/>
        </w:rPr>
      </w:pPr>
      <w:r w:rsidRPr="00AD40C6">
        <w:t xml:space="preserve">Suhartini, 2008. Pengaruh Keberadaan Tempat Pembuangan Akhir (TPA) Sampah Piyungan Terhadap Kualitas Air Sumur Penduduk Di Sekitarnya. </w:t>
      </w:r>
      <w:r w:rsidRPr="00AD40C6">
        <w:rPr>
          <w:i/>
        </w:rPr>
        <w:t>Naskah Jurnal Saintek</w:t>
      </w:r>
      <w:r w:rsidRPr="00AD40C6">
        <w:t>. Yogyakarta. FMIPA UNY.</w:t>
      </w:r>
    </w:p>
    <w:p w:rsidR="00DB7856" w:rsidRPr="00DB7856" w:rsidRDefault="005A74B7" w:rsidP="00DB7856">
      <w:pPr>
        <w:pStyle w:val="ListParagraph"/>
        <w:numPr>
          <w:ilvl w:val="0"/>
          <w:numId w:val="18"/>
        </w:numPr>
        <w:spacing w:before="0" w:after="0"/>
        <w:ind w:left="284" w:hanging="284"/>
        <w:rPr>
          <w:b/>
        </w:rPr>
      </w:pPr>
      <w:r w:rsidRPr="00AD40C6">
        <w:t>Soemirat</w:t>
      </w:r>
      <w:r w:rsidR="00127FCF" w:rsidRPr="00AD40C6">
        <w:t>,</w:t>
      </w:r>
      <w:r w:rsidRPr="00AD40C6">
        <w:t xml:space="preserve"> J.</w:t>
      </w:r>
      <w:r w:rsidR="00127FCF" w:rsidRPr="00AD40C6">
        <w:t xml:space="preserve"> 2001. Kesehatan lingkungan. Yogyakarta: </w:t>
      </w:r>
      <w:r w:rsidR="00127FCF" w:rsidRPr="00AD40C6">
        <w:rPr>
          <w:bCs/>
        </w:rPr>
        <w:t xml:space="preserve"> </w:t>
      </w:r>
      <w:r w:rsidR="00127FCF" w:rsidRPr="00AD40C6">
        <w:t>Gajah Mada University Press.</w:t>
      </w:r>
    </w:p>
    <w:p w:rsidR="00DB7856" w:rsidRPr="00DB7856" w:rsidRDefault="009073F9" w:rsidP="00DB7856">
      <w:pPr>
        <w:pStyle w:val="ListParagraph"/>
        <w:numPr>
          <w:ilvl w:val="0"/>
          <w:numId w:val="18"/>
        </w:numPr>
        <w:spacing w:before="0" w:after="0"/>
        <w:ind w:left="284" w:hanging="284"/>
        <w:rPr>
          <w:b/>
        </w:rPr>
      </w:pPr>
      <w:r w:rsidRPr="00DB7856">
        <w:rPr>
          <w:bCs/>
        </w:rPr>
        <w:t xml:space="preserve">Puti Sri Komala, Budhi Primasari, Fitri Rivai. Pengaruh Sistem </w:t>
      </w:r>
      <w:r w:rsidRPr="00DB7856">
        <w:rPr>
          <w:bCs/>
          <w:i/>
          <w:iCs/>
        </w:rPr>
        <w:t xml:space="preserve">Open Dumping </w:t>
      </w:r>
      <w:r w:rsidRPr="00DB7856">
        <w:rPr>
          <w:bCs/>
        </w:rPr>
        <w:t xml:space="preserve">Di Lokasi Pembuangan Akhir (LPA) Terhadap Kandungan Logam Berat Pada Air Tanah Dangkal Di Sekitarnya (Studi Kasus LPA Air Dingin, Padang). </w:t>
      </w:r>
      <w:r w:rsidRPr="00DB7856">
        <w:rPr>
          <w:bCs/>
          <w:i/>
        </w:rPr>
        <w:t xml:space="preserve">Jurnal </w:t>
      </w:r>
      <w:r w:rsidRPr="00DB7856">
        <w:rPr>
          <w:i/>
        </w:rPr>
        <w:t>No. 29 Vol.1 Thn. Xv April 2008</w:t>
      </w:r>
      <w:r w:rsidRPr="00AD40C6">
        <w:t>.</w:t>
      </w:r>
    </w:p>
    <w:p w:rsidR="00DB7856" w:rsidRDefault="00FA0F3A" w:rsidP="00DB7856">
      <w:pPr>
        <w:pStyle w:val="ListParagraph"/>
        <w:numPr>
          <w:ilvl w:val="0"/>
          <w:numId w:val="18"/>
        </w:numPr>
        <w:spacing w:before="0" w:after="0"/>
        <w:ind w:left="284" w:hanging="284"/>
        <w:rPr>
          <w:b/>
        </w:rPr>
      </w:pPr>
      <w:r w:rsidRPr="00AD40C6">
        <w:lastRenderedPageBreak/>
        <w:t xml:space="preserve">Sudadi, P. 2003. Penentuan Kualitas Air Tanah Melalui Analisis Unsur Kimia Terpilih. </w:t>
      </w:r>
      <w:r w:rsidRPr="00DB7856">
        <w:rPr>
          <w:i/>
          <w:iCs/>
        </w:rPr>
        <w:t>Jurnal</w:t>
      </w:r>
      <w:r w:rsidRPr="00AD40C6">
        <w:t>. Buletin Geologi Tata Lingkungan (Bulletin of Environmental Geology). 13 (2).</w:t>
      </w:r>
      <w:r w:rsidRPr="00DB7856">
        <w:rPr>
          <w:b/>
        </w:rPr>
        <w:t xml:space="preserve"> </w:t>
      </w:r>
    </w:p>
    <w:p w:rsidR="00DB7856" w:rsidRPr="00DB7856" w:rsidRDefault="00FA0F3A" w:rsidP="00DB7856">
      <w:pPr>
        <w:pStyle w:val="ListParagraph"/>
        <w:numPr>
          <w:ilvl w:val="0"/>
          <w:numId w:val="18"/>
        </w:numPr>
        <w:spacing w:before="0" w:after="0"/>
        <w:ind w:left="284" w:hanging="284"/>
        <w:rPr>
          <w:b/>
        </w:rPr>
      </w:pPr>
      <w:r w:rsidRPr="00AD40C6">
        <w:t xml:space="preserve">Chapman, D. 2000. </w:t>
      </w:r>
      <w:r w:rsidRPr="00DB7856">
        <w:rPr>
          <w:i/>
          <w:iCs/>
        </w:rPr>
        <w:t>Water Quality Assessments</w:t>
      </w:r>
      <w:r w:rsidRPr="00AD40C6">
        <w:t>. Great Britain: University Cambridge.</w:t>
      </w:r>
    </w:p>
    <w:p w:rsidR="00DB7856" w:rsidRPr="00DB7856" w:rsidRDefault="00AD40C6" w:rsidP="00DB7856">
      <w:pPr>
        <w:pStyle w:val="ListParagraph"/>
        <w:numPr>
          <w:ilvl w:val="0"/>
          <w:numId w:val="18"/>
        </w:numPr>
        <w:spacing w:before="0" w:after="0"/>
        <w:ind w:left="284" w:hanging="284"/>
        <w:rPr>
          <w:b/>
        </w:rPr>
      </w:pPr>
      <w:r w:rsidRPr="00AD40C6">
        <w:t>Erni Mahluddin Yatim,* Mukhlis*. Pengaruh lindi (</w:t>
      </w:r>
      <w:r w:rsidRPr="00DB7856">
        <w:rPr>
          <w:i/>
        </w:rPr>
        <w:t>Leachate</w:t>
      </w:r>
      <w:r w:rsidRPr="00AD40C6">
        <w:t xml:space="preserve"> ) Sampah Terhadap air Sumur Penduduk Sekitar Tempat Pembuangan akhir ( TPA ) Air Dingin. </w:t>
      </w:r>
      <w:r w:rsidRPr="00DB7856">
        <w:rPr>
          <w:i/>
        </w:rPr>
        <w:t>Jurnal Kesehatan Masyarakat</w:t>
      </w:r>
      <w:r w:rsidRPr="00AD40C6">
        <w:t>, Maret 2013 - September 2013, Vol. 7, No. 2.</w:t>
      </w:r>
    </w:p>
    <w:p w:rsidR="00DB7856" w:rsidRPr="00DB7856" w:rsidRDefault="00AD40C6" w:rsidP="00DB7856">
      <w:pPr>
        <w:pStyle w:val="ListParagraph"/>
        <w:numPr>
          <w:ilvl w:val="0"/>
          <w:numId w:val="18"/>
        </w:numPr>
        <w:spacing w:before="0" w:after="0"/>
        <w:ind w:left="284" w:hanging="284"/>
        <w:rPr>
          <w:b/>
        </w:rPr>
      </w:pPr>
      <w:r w:rsidRPr="00AD40C6">
        <w:t xml:space="preserve">Arbain, N.K.M., Sudana I B. 2008. </w:t>
      </w:r>
      <w:r w:rsidRPr="00DB7856">
        <w:rPr>
          <w:i/>
        </w:rPr>
        <w:t>Pengaruh Air Lindi Tempat Pembuangan Akhir Sampah Suwung Terhadap Kualitas Air Tanah Dangkal Di Sekitarnya Di Kelurahan Pedungan Kota Denpasar.</w:t>
      </w:r>
    </w:p>
    <w:p w:rsidR="0097418A" w:rsidRPr="0097418A" w:rsidRDefault="00AD40C6" w:rsidP="0097418A">
      <w:pPr>
        <w:pStyle w:val="ListParagraph"/>
        <w:numPr>
          <w:ilvl w:val="0"/>
          <w:numId w:val="18"/>
        </w:numPr>
        <w:spacing w:before="0" w:after="0"/>
        <w:ind w:left="284" w:hanging="284"/>
        <w:rPr>
          <w:b/>
        </w:rPr>
      </w:pPr>
      <w:r w:rsidRPr="00AD40C6">
        <w:t xml:space="preserve">Effendi, H. 2003. </w:t>
      </w:r>
      <w:r w:rsidRPr="00DB7856">
        <w:rPr>
          <w:i/>
        </w:rPr>
        <w:t>Telaah Kualitas Air</w:t>
      </w:r>
      <w:r w:rsidRPr="00AD40C6">
        <w:t>. Penerbit Kanisius. Jakarta.</w:t>
      </w:r>
    </w:p>
    <w:p w:rsidR="0097418A" w:rsidRPr="0097418A" w:rsidRDefault="0097418A" w:rsidP="0097418A">
      <w:pPr>
        <w:pStyle w:val="ListParagraph"/>
        <w:numPr>
          <w:ilvl w:val="0"/>
          <w:numId w:val="18"/>
        </w:numPr>
        <w:spacing w:before="0" w:after="0"/>
        <w:ind w:left="284" w:hanging="284"/>
        <w:rPr>
          <w:b/>
        </w:rPr>
      </w:pPr>
      <w:r w:rsidRPr="0097418A">
        <w:rPr>
          <w:rFonts w:eastAsia="Times New Roman"/>
        </w:rPr>
        <w:t xml:space="preserve">Afiefah, Aqielatunnisa. 2015. </w:t>
      </w:r>
      <w:r w:rsidRPr="0097418A">
        <w:rPr>
          <w:rFonts w:eastAsia="Times New Roman"/>
          <w:i/>
        </w:rPr>
        <w:t>Analisis Bakteri Coliform (Fekal Dan Non Fekal) Sebagai Indikator Kualitas Perairan Sungai Gajah Wong, Daerah Istimewa Yogyakarta</w:t>
      </w:r>
      <w:r w:rsidRPr="0097418A">
        <w:rPr>
          <w:rFonts w:eastAsia="Times New Roman"/>
        </w:rPr>
        <w:t>. Skripsi. Fakultas Sains Dan Teknologi Universita Islam Negeri Sunan Kalijaga Yogyakarta.</w:t>
      </w:r>
    </w:p>
    <w:p w:rsidR="003C0D4C" w:rsidRPr="003C0D4C" w:rsidRDefault="0097418A" w:rsidP="003C0D4C">
      <w:pPr>
        <w:pStyle w:val="ListParagraph"/>
        <w:numPr>
          <w:ilvl w:val="0"/>
          <w:numId w:val="18"/>
        </w:numPr>
        <w:spacing w:before="0" w:after="0"/>
        <w:ind w:left="284" w:hanging="284"/>
        <w:rPr>
          <w:b/>
        </w:rPr>
      </w:pPr>
      <w:r w:rsidRPr="0097418A">
        <w:t xml:space="preserve">Suriawiria, U. 2008. </w:t>
      </w:r>
      <w:r w:rsidRPr="0097418A">
        <w:rPr>
          <w:i/>
        </w:rPr>
        <w:t>Mikrobiologi Air</w:t>
      </w:r>
      <w:r w:rsidRPr="0097418A">
        <w:t>. Bandung : PT ALUMNI</w:t>
      </w:r>
    </w:p>
    <w:p w:rsidR="003C0D4C" w:rsidRPr="003C0D4C" w:rsidRDefault="003C0D4C" w:rsidP="003C0D4C">
      <w:pPr>
        <w:pStyle w:val="ListParagraph"/>
        <w:numPr>
          <w:ilvl w:val="0"/>
          <w:numId w:val="18"/>
        </w:numPr>
        <w:spacing w:before="0" w:after="0"/>
        <w:ind w:left="284" w:hanging="284"/>
        <w:rPr>
          <w:b/>
        </w:rPr>
      </w:pPr>
      <w:r w:rsidRPr="003C0D4C">
        <w:t xml:space="preserve">Haryoto, dkk. 2011. </w:t>
      </w:r>
      <w:r w:rsidRPr="003C0D4C">
        <w:rPr>
          <w:bCs/>
        </w:rPr>
        <w:t xml:space="preserve">Fate Gas Amoniak Terhadap Besarnya Resiko Gangguan Kesehatan pada Masayarakat di sekitar Tempat Pembuangan Akhir (TPA) Sampah Putri Cempo Surakarta. </w:t>
      </w:r>
      <w:r w:rsidRPr="003C0D4C">
        <w:rPr>
          <w:i/>
          <w:iCs/>
        </w:rPr>
        <w:t>Jurnal EKOSAINS | Vol. VI | No. 2 | Juli 2014</w:t>
      </w:r>
      <w:r w:rsidRPr="003C0D4C">
        <w:rPr>
          <w:bCs/>
        </w:rPr>
        <w:t>.</w:t>
      </w:r>
    </w:p>
    <w:p w:rsidR="003C0D4C" w:rsidRPr="003C0D4C" w:rsidRDefault="003C0D4C" w:rsidP="003C0D4C">
      <w:pPr>
        <w:pStyle w:val="ListParagraph"/>
        <w:numPr>
          <w:ilvl w:val="0"/>
          <w:numId w:val="18"/>
        </w:numPr>
        <w:spacing w:before="0" w:after="0"/>
        <w:ind w:left="284" w:hanging="284"/>
        <w:rPr>
          <w:b/>
        </w:rPr>
      </w:pPr>
      <w:r w:rsidRPr="003C0D4C">
        <w:t xml:space="preserve">Hilda Zulkifli. </w:t>
      </w:r>
      <w:r w:rsidRPr="003C0D4C">
        <w:rPr>
          <w:i/>
        </w:rPr>
        <w:t>Kualitas Lingkungan Tempat Pembuangan Sukajaya Kota Palembang.</w:t>
      </w:r>
      <w:r w:rsidRPr="003C0D4C">
        <w:t xml:space="preserve"> Skripsi. Jurusan Biologi Fmipa Dan Program Studi Pengelolaan Lingkungan Program Pascasarjana Universitas Sriwijaya.</w:t>
      </w:r>
    </w:p>
    <w:p w:rsidR="00AD40C6" w:rsidRPr="00F51B4B" w:rsidRDefault="003C0D4C" w:rsidP="003C0D4C">
      <w:pPr>
        <w:pStyle w:val="ListParagraph"/>
        <w:numPr>
          <w:ilvl w:val="0"/>
          <w:numId w:val="18"/>
        </w:numPr>
        <w:spacing w:before="0" w:after="0"/>
        <w:ind w:left="284" w:hanging="284"/>
        <w:rPr>
          <w:b/>
        </w:rPr>
        <w:sectPr w:rsidR="00AD40C6" w:rsidRPr="00F51B4B" w:rsidSect="00AA0DC3">
          <w:type w:val="continuous"/>
          <w:pgSz w:w="12240" w:h="15840"/>
          <w:pgMar w:top="1440" w:right="1440" w:bottom="1440" w:left="1440" w:header="720" w:footer="720" w:gutter="0"/>
          <w:cols w:num="2" w:space="720"/>
          <w:docGrid w:linePitch="360"/>
        </w:sectPr>
      </w:pPr>
      <w:r w:rsidRPr="00F51B4B">
        <w:t xml:space="preserve">Nasikin, M. 2007. </w:t>
      </w:r>
      <w:r w:rsidRPr="00F51B4B">
        <w:rPr>
          <w:bCs/>
        </w:rPr>
        <w:t xml:space="preserve">Pemanfaatan Sungai Jajar Sebagai Sarana Mandi Cuci Dan Kakus (MCK) Studi Kasus Terhadap Perilaku Masyarakat Di Kelurahan Singorejo Kecamatan Demak Kabupaten Demak. </w:t>
      </w:r>
      <w:r w:rsidRPr="00F51B4B">
        <w:rPr>
          <w:bCs/>
          <w:i/>
        </w:rPr>
        <w:t>Thesis.</w:t>
      </w:r>
      <w:r w:rsidRPr="00F51B4B">
        <w:rPr>
          <w:bCs/>
        </w:rPr>
        <w:t xml:space="preserve"> Program Studi Pendidikan Ilmu Pengetahuan Sosial Program Pascasarjana Universitas Ne</w:t>
      </w:r>
      <w:r w:rsidR="00A02401">
        <w:rPr>
          <w:bCs/>
        </w:rPr>
        <w:t>geri Semara</w:t>
      </w:r>
      <w:r w:rsidR="00A02401">
        <w:rPr>
          <w:bCs/>
          <w:lang w:val="id-ID"/>
        </w:rPr>
        <w:t>.</w:t>
      </w:r>
    </w:p>
    <w:p w:rsidR="00E01765" w:rsidRPr="00F51B4B" w:rsidRDefault="00E01765" w:rsidP="00A02401">
      <w:pPr>
        <w:autoSpaceDE w:val="0"/>
        <w:autoSpaceDN w:val="0"/>
        <w:adjustRightInd w:val="0"/>
        <w:spacing w:before="0" w:after="0"/>
        <w:rPr>
          <w:lang w:val="id-ID"/>
        </w:rPr>
      </w:pPr>
    </w:p>
    <w:sectPr w:rsidR="00E01765" w:rsidRPr="00F51B4B" w:rsidSect="00AA0DC3">
      <w:type w:val="continuous"/>
      <w:pgSz w:w="12240" w:h="20160" w:code="5"/>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72C" w:rsidRDefault="00D1472C" w:rsidP="007F471F">
      <w:pPr>
        <w:spacing w:before="0" w:after="0"/>
      </w:pPr>
      <w:r>
        <w:separator/>
      </w:r>
    </w:p>
  </w:endnote>
  <w:endnote w:type="continuationSeparator" w:id="1">
    <w:p w:rsidR="00D1472C" w:rsidRDefault="00D1472C" w:rsidP="007F471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72C" w:rsidRDefault="00D1472C" w:rsidP="007F471F">
      <w:pPr>
        <w:spacing w:before="0" w:after="0"/>
      </w:pPr>
      <w:r>
        <w:separator/>
      </w:r>
    </w:p>
  </w:footnote>
  <w:footnote w:type="continuationSeparator" w:id="1">
    <w:p w:rsidR="00D1472C" w:rsidRDefault="00D1472C" w:rsidP="007F471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6F9E"/>
    <w:multiLevelType w:val="hybridMultilevel"/>
    <w:tmpl w:val="1466E3D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025CE5"/>
    <w:multiLevelType w:val="hybridMultilevel"/>
    <w:tmpl w:val="00EE1F0A"/>
    <w:lvl w:ilvl="0" w:tplc="38E88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41001"/>
    <w:multiLevelType w:val="hybridMultilevel"/>
    <w:tmpl w:val="246A7644"/>
    <w:lvl w:ilvl="0" w:tplc="BF98BDAC">
      <w:start w:val="5"/>
      <w:numFmt w:val="upperRoman"/>
      <w:lvlText w:val="%1.1.3."/>
      <w:lvlJc w:val="left"/>
      <w:pPr>
        <w:ind w:left="1440" w:hanging="360"/>
      </w:pPr>
      <w:rPr>
        <w:rFonts w:hint="default"/>
        <w:b/>
      </w:rPr>
    </w:lvl>
    <w:lvl w:ilvl="1" w:tplc="799001F0">
      <w:start w:val="1"/>
      <w:numFmt w:val="decimal"/>
      <w:lvlText w:val="%2."/>
      <w:lvlJc w:val="left"/>
      <w:pPr>
        <w:ind w:left="2160" w:hanging="36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E1556"/>
    <w:multiLevelType w:val="hybridMultilevel"/>
    <w:tmpl w:val="7C983F8C"/>
    <w:lvl w:ilvl="0" w:tplc="9D5A0768">
      <w:start w:val="6"/>
      <w:numFmt w:val="upperRoman"/>
      <w:lvlText w:val="%1.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5210D"/>
    <w:multiLevelType w:val="hybridMultilevel"/>
    <w:tmpl w:val="3D149AEE"/>
    <w:lvl w:ilvl="0" w:tplc="A058D6CE">
      <w:start w:val="1"/>
      <w:numFmt w:val="decimal"/>
      <w:lvlText w:val="%1."/>
      <w:lvlJc w:val="left"/>
      <w:pPr>
        <w:ind w:left="1080" w:hanging="360"/>
      </w:pPr>
      <w:rPr>
        <w:rFonts w:ascii="TimesNewRomanPSMT" w:hAnsi="TimesNewRomanPSMT" w:cs="TimesNewRomanPSMT"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4B17B8"/>
    <w:multiLevelType w:val="hybridMultilevel"/>
    <w:tmpl w:val="F3D266C0"/>
    <w:lvl w:ilvl="0" w:tplc="56463740">
      <w:start w:val="6"/>
      <w:numFmt w:val="upperRoman"/>
      <w:lvlText w:val="%1.2.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3007F"/>
    <w:multiLevelType w:val="hybridMultilevel"/>
    <w:tmpl w:val="78AE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180FDA"/>
    <w:multiLevelType w:val="hybridMultilevel"/>
    <w:tmpl w:val="A40E4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7373"/>
    <w:multiLevelType w:val="hybridMultilevel"/>
    <w:tmpl w:val="B0B8EDFC"/>
    <w:lvl w:ilvl="0" w:tplc="21B20F64">
      <w:start w:val="1"/>
      <w:numFmt w:val="decimal"/>
      <w:lvlText w:val="%1."/>
      <w:lvlJc w:val="left"/>
      <w:pPr>
        <w:ind w:left="720" w:hanging="360"/>
      </w:pPr>
      <w:rPr>
        <w:rFonts w:eastAsia="MS Mincho"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F3EA3"/>
    <w:multiLevelType w:val="hybridMultilevel"/>
    <w:tmpl w:val="037CF776"/>
    <w:lvl w:ilvl="0" w:tplc="040224A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D7003"/>
    <w:multiLevelType w:val="hybridMultilevel"/>
    <w:tmpl w:val="CA943794"/>
    <w:lvl w:ilvl="0" w:tplc="3AE86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9B35DD"/>
    <w:multiLevelType w:val="hybridMultilevel"/>
    <w:tmpl w:val="D090A8EC"/>
    <w:lvl w:ilvl="0" w:tplc="4CF4C27E">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5C9B73A2"/>
    <w:multiLevelType w:val="hybridMultilevel"/>
    <w:tmpl w:val="CA943794"/>
    <w:lvl w:ilvl="0" w:tplc="3AE86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F3063E"/>
    <w:multiLevelType w:val="hybridMultilevel"/>
    <w:tmpl w:val="00EE1F0A"/>
    <w:lvl w:ilvl="0" w:tplc="38E88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BB224A"/>
    <w:multiLevelType w:val="hybridMultilevel"/>
    <w:tmpl w:val="4F18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12DB5"/>
    <w:multiLevelType w:val="hybridMultilevel"/>
    <w:tmpl w:val="C278F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811E5E"/>
    <w:multiLevelType w:val="hybridMultilevel"/>
    <w:tmpl w:val="7C86BB08"/>
    <w:lvl w:ilvl="0" w:tplc="4516E714">
      <w:start w:val="6"/>
      <w:numFmt w:val="upperRoman"/>
      <w:lvlText w:val="%1.2."/>
      <w:lvlJc w:val="right"/>
      <w:pPr>
        <w:ind w:left="720" w:hanging="360"/>
      </w:pPr>
      <w:rPr>
        <w:rFonts w:hint="default"/>
        <w:b/>
      </w:rPr>
    </w:lvl>
    <w:lvl w:ilvl="1" w:tplc="BE4AB9C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C6C03"/>
    <w:multiLevelType w:val="hybridMultilevel"/>
    <w:tmpl w:val="CA943794"/>
    <w:lvl w:ilvl="0" w:tplc="3AE86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6976AA"/>
    <w:multiLevelType w:val="hybridMultilevel"/>
    <w:tmpl w:val="4176DF10"/>
    <w:lvl w:ilvl="0" w:tplc="40902790">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76B54E43"/>
    <w:multiLevelType w:val="hybridMultilevel"/>
    <w:tmpl w:val="81ECCEF8"/>
    <w:lvl w:ilvl="0" w:tplc="96DE3F5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
  </w:num>
  <w:num w:numId="4">
    <w:abstractNumId w:val="3"/>
  </w:num>
  <w:num w:numId="5">
    <w:abstractNumId w:val="16"/>
  </w:num>
  <w:num w:numId="6">
    <w:abstractNumId w:val="13"/>
  </w:num>
  <w:num w:numId="7">
    <w:abstractNumId w:val="5"/>
  </w:num>
  <w:num w:numId="8">
    <w:abstractNumId w:val="1"/>
  </w:num>
  <w:num w:numId="9">
    <w:abstractNumId w:val="19"/>
  </w:num>
  <w:num w:numId="10">
    <w:abstractNumId w:val="8"/>
  </w:num>
  <w:num w:numId="11">
    <w:abstractNumId w:val="11"/>
  </w:num>
  <w:num w:numId="12">
    <w:abstractNumId w:val="18"/>
  </w:num>
  <w:num w:numId="13">
    <w:abstractNumId w:val="17"/>
  </w:num>
  <w:num w:numId="14">
    <w:abstractNumId w:val="12"/>
  </w:num>
  <w:num w:numId="15">
    <w:abstractNumId w:val="10"/>
  </w:num>
  <w:num w:numId="16">
    <w:abstractNumId w:val="7"/>
  </w:num>
  <w:num w:numId="17">
    <w:abstractNumId w:val="4"/>
  </w:num>
  <w:num w:numId="18">
    <w:abstractNumId w:val="9"/>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446AC"/>
    <w:rsid w:val="00027D9D"/>
    <w:rsid w:val="0003735E"/>
    <w:rsid w:val="00060F91"/>
    <w:rsid w:val="000619A1"/>
    <w:rsid w:val="00072890"/>
    <w:rsid w:val="0007514E"/>
    <w:rsid w:val="0007696E"/>
    <w:rsid w:val="000947D5"/>
    <w:rsid w:val="000B31F3"/>
    <w:rsid w:val="000D1085"/>
    <w:rsid w:val="000D7E10"/>
    <w:rsid w:val="00121C6A"/>
    <w:rsid w:val="00127FCF"/>
    <w:rsid w:val="001348D3"/>
    <w:rsid w:val="001361AE"/>
    <w:rsid w:val="00176419"/>
    <w:rsid w:val="0018707B"/>
    <w:rsid w:val="001964C2"/>
    <w:rsid w:val="001A681A"/>
    <w:rsid w:val="001D5BC0"/>
    <w:rsid w:val="001E710A"/>
    <w:rsid w:val="002269FD"/>
    <w:rsid w:val="00233786"/>
    <w:rsid w:val="002505A4"/>
    <w:rsid w:val="00274442"/>
    <w:rsid w:val="00284ED8"/>
    <w:rsid w:val="002B340F"/>
    <w:rsid w:val="002B664E"/>
    <w:rsid w:val="003125A2"/>
    <w:rsid w:val="00316A50"/>
    <w:rsid w:val="00334178"/>
    <w:rsid w:val="003658F4"/>
    <w:rsid w:val="003B68CC"/>
    <w:rsid w:val="003C0D4C"/>
    <w:rsid w:val="003C5134"/>
    <w:rsid w:val="003D6F5B"/>
    <w:rsid w:val="003F443D"/>
    <w:rsid w:val="00405A34"/>
    <w:rsid w:val="004309B9"/>
    <w:rsid w:val="00453FF1"/>
    <w:rsid w:val="004944AE"/>
    <w:rsid w:val="004B27FE"/>
    <w:rsid w:val="004C0E8A"/>
    <w:rsid w:val="004C5937"/>
    <w:rsid w:val="004D1353"/>
    <w:rsid w:val="004E4465"/>
    <w:rsid w:val="004F1384"/>
    <w:rsid w:val="00502567"/>
    <w:rsid w:val="005071E9"/>
    <w:rsid w:val="005148EB"/>
    <w:rsid w:val="00530BEB"/>
    <w:rsid w:val="00537930"/>
    <w:rsid w:val="005415CC"/>
    <w:rsid w:val="005420BD"/>
    <w:rsid w:val="00555686"/>
    <w:rsid w:val="00585319"/>
    <w:rsid w:val="00590DA8"/>
    <w:rsid w:val="005A74B7"/>
    <w:rsid w:val="005C43B0"/>
    <w:rsid w:val="005E388D"/>
    <w:rsid w:val="005F51AB"/>
    <w:rsid w:val="00620C6B"/>
    <w:rsid w:val="006346A0"/>
    <w:rsid w:val="006517B0"/>
    <w:rsid w:val="00652987"/>
    <w:rsid w:val="006768AF"/>
    <w:rsid w:val="00683B5E"/>
    <w:rsid w:val="00685C57"/>
    <w:rsid w:val="00687FD4"/>
    <w:rsid w:val="006957E6"/>
    <w:rsid w:val="006B2658"/>
    <w:rsid w:val="006B489D"/>
    <w:rsid w:val="007072B6"/>
    <w:rsid w:val="00726895"/>
    <w:rsid w:val="00737850"/>
    <w:rsid w:val="0074502A"/>
    <w:rsid w:val="00756D9E"/>
    <w:rsid w:val="00762F1C"/>
    <w:rsid w:val="00784522"/>
    <w:rsid w:val="007955D5"/>
    <w:rsid w:val="007A0459"/>
    <w:rsid w:val="007A3E3F"/>
    <w:rsid w:val="007B148D"/>
    <w:rsid w:val="007C0399"/>
    <w:rsid w:val="007E0132"/>
    <w:rsid w:val="007F471F"/>
    <w:rsid w:val="008049B3"/>
    <w:rsid w:val="00807E07"/>
    <w:rsid w:val="008208D9"/>
    <w:rsid w:val="00832ECF"/>
    <w:rsid w:val="008414F5"/>
    <w:rsid w:val="00842957"/>
    <w:rsid w:val="00882A1F"/>
    <w:rsid w:val="008949E1"/>
    <w:rsid w:val="008F1B15"/>
    <w:rsid w:val="008F4B0C"/>
    <w:rsid w:val="008F6B55"/>
    <w:rsid w:val="009073F9"/>
    <w:rsid w:val="0092446C"/>
    <w:rsid w:val="00932D25"/>
    <w:rsid w:val="00937201"/>
    <w:rsid w:val="0094250E"/>
    <w:rsid w:val="00947345"/>
    <w:rsid w:val="00956368"/>
    <w:rsid w:val="0097418A"/>
    <w:rsid w:val="009860C4"/>
    <w:rsid w:val="00986CAC"/>
    <w:rsid w:val="00994ED8"/>
    <w:rsid w:val="009961A0"/>
    <w:rsid w:val="009C2FC4"/>
    <w:rsid w:val="009C5192"/>
    <w:rsid w:val="009C7169"/>
    <w:rsid w:val="009E63E4"/>
    <w:rsid w:val="009F66EA"/>
    <w:rsid w:val="00A01E4E"/>
    <w:rsid w:val="00A02077"/>
    <w:rsid w:val="00A02401"/>
    <w:rsid w:val="00A02BE1"/>
    <w:rsid w:val="00A13946"/>
    <w:rsid w:val="00A36083"/>
    <w:rsid w:val="00A446AC"/>
    <w:rsid w:val="00A50DFC"/>
    <w:rsid w:val="00A63C09"/>
    <w:rsid w:val="00A858D1"/>
    <w:rsid w:val="00AA0DC3"/>
    <w:rsid w:val="00AA4EE0"/>
    <w:rsid w:val="00AB5AA5"/>
    <w:rsid w:val="00AD37B9"/>
    <w:rsid w:val="00AD40C6"/>
    <w:rsid w:val="00B03415"/>
    <w:rsid w:val="00B4170A"/>
    <w:rsid w:val="00B76416"/>
    <w:rsid w:val="00BC39A4"/>
    <w:rsid w:val="00BD4D2E"/>
    <w:rsid w:val="00BF7D70"/>
    <w:rsid w:val="00C03A9F"/>
    <w:rsid w:val="00C07B03"/>
    <w:rsid w:val="00C31C6E"/>
    <w:rsid w:val="00C3524A"/>
    <w:rsid w:val="00C44F24"/>
    <w:rsid w:val="00C80B1D"/>
    <w:rsid w:val="00CB273E"/>
    <w:rsid w:val="00CE6741"/>
    <w:rsid w:val="00CF1EA0"/>
    <w:rsid w:val="00CF5E8E"/>
    <w:rsid w:val="00D1472C"/>
    <w:rsid w:val="00D3644C"/>
    <w:rsid w:val="00D46408"/>
    <w:rsid w:val="00D61477"/>
    <w:rsid w:val="00D810E1"/>
    <w:rsid w:val="00DA26D9"/>
    <w:rsid w:val="00DA2B10"/>
    <w:rsid w:val="00DB0417"/>
    <w:rsid w:val="00DB7856"/>
    <w:rsid w:val="00DB7E9F"/>
    <w:rsid w:val="00DC47DE"/>
    <w:rsid w:val="00DD711C"/>
    <w:rsid w:val="00DF6D59"/>
    <w:rsid w:val="00E01765"/>
    <w:rsid w:val="00E23FD5"/>
    <w:rsid w:val="00E415DB"/>
    <w:rsid w:val="00E61F76"/>
    <w:rsid w:val="00E74EC5"/>
    <w:rsid w:val="00E76224"/>
    <w:rsid w:val="00E76D34"/>
    <w:rsid w:val="00E90D9B"/>
    <w:rsid w:val="00E9376A"/>
    <w:rsid w:val="00EC341B"/>
    <w:rsid w:val="00EE6771"/>
    <w:rsid w:val="00EF102E"/>
    <w:rsid w:val="00F01638"/>
    <w:rsid w:val="00F03AEE"/>
    <w:rsid w:val="00F262BA"/>
    <w:rsid w:val="00F51B4B"/>
    <w:rsid w:val="00F713E8"/>
    <w:rsid w:val="00FA0F3A"/>
    <w:rsid w:val="00FA4D48"/>
    <w:rsid w:val="00FE70CA"/>
    <w:rsid w:val="00FF28D1"/>
    <w:rsid w:val="00FF3F47"/>
    <w:rsid w:val="00FF75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7"/>
        <o:r id="V:Rule6" type="connector" idref="#_x0000_s1030"/>
        <o:r id="V:Rule7" type="connector" idref="#_x0000_s1028"/>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AC"/>
    <w:pPr>
      <w:spacing w:before="120" w:after="120" w:line="240" w:lineRule="auto"/>
      <w:jc w:val="both"/>
    </w:pPr>
    <w:rPr>
      <w:rFonts w:ascii="Times New Roman" w:eastAsia="MS Mincho" w:hAnsi="Times New Roman" w:cs="Times New Roman"/>
      <w:sz w:val="20"/>
      <w:szCs w:val="20"/>
    </w:rPr>
  </w:style>
  <w:style w:type="paragraph" w:styleId="Heading1">
    <w:name w:val="heading 1"/>
    <w:basedOn w:val="Normal"/>
    <w:next w:val="Normal"/>
    <w:link w:val="Heading1Char"/>
    <w:qFormat/>
    <w:rsid w:val="0074502A"/>
    <w:pPr>
      <w:keepNext/>
      <w:spacing w:before="240" w:after="240"/>
      <w:jc w:val="center"/>
      <w:outlineLvl w:val="0"/>
    </w:pPr>
    <w:rPr>
      <w:b/>
      <w:caps/>
      <w:sz w:val="32"/>
    </w:rPr>
  </w:style>
  <w:style w:type="paragraph" w:styleId="Heading2">
    <w:name w:val="heading 2"/>
    <w:basedOn w:val="Normal"/>
    <w:next w:val="Normal"/>
    <w:link w:val="Heading2Char"/>
    <w:qFormat/>
    <w:rsid w:val="00A446AC"/>
    <w:pPr>
      <w:keepNext/>
      <w:spacing w:after="24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A446AC"/>
    <w:pPr>
      <w:spacing w:before="960"/>
      <w:jc w:val="center"/>
    </w:pPr>
    <w:rPr>
      <w:b/>
      <w:sz w:val="36"/>
    </w:rPr>
  </w:style>
  <w:style w:type="paragraph" w:customStyle="1" w:styleId="PaperAuthor">
    <w:name w:val="Paper Author"/>
    <w:basedOn w:val="Normal"/>
    <w:rsid w:val="00A446AC"/>
    <w:pPr>
      <w:spacing w:before="360" w:after="360"/>
      <w:jc w:val="center"/>
    </w:pPr>
    <w:rPr>
      <w:sz w:val="28"/>
    </w:rPr>
  </w:style>
  <w:style w:type="paragraph" w:customStyle="1" w:styleId="AuthorAffiliation">
    <w:name w:val="Author Affiliation"/>
    <w:basedOn w:val="Normal"/>
    <w:rsid w:val="00A446AC"/>
    <w:pPr>
      <w:jc w:val="center"/>
    </w:pPr>
    <w:rPr>
      <w:i/>
    </w:rPr>
  </w:style>
  <w:style w:type="character" w:customStyle="1" w:styleId="Heading1Char">
    <w:name w:val="Heading 1 Char"/>
    <w:basedOn w:val="DefaultParagraphFont"/>
    <w:link w:val="Heading1"/>
    <w:rsid w:val="0074502A"/>
    <w:rPr>
      <w:rFonts w:ascii="Times New Roman" w:eastAsia="MS Mincho" w:hAnsi="Times New Roman" w:cs="Times New Roman"/>
      <w:b/>
      <w:caps/>
      <w:sz w:val="32"/>
      <w:szCs w:val="20"/>
    </w:rPr>
  </w:style>
  <w:style w:type="character" w:customStyle="1" w:styleId="Heading2Char">
    <w:name w:val="Heading 2 Char"/>
    <w:basedOn w:val="DefaultParagraphFont"/>
    <w:link w:val="Heading2"/>
    <w:rsid w:val="00A446AC"/>
    <w:rPr>
      <w:rFonts w:ascii="Times New Roman" w:eastAsia="MS Mincho" w:hAnsi="Times New Roman" w:cs="Times New Roman"/>
      <w:b/>
      <w:sz w:val="24"/>
      <w:szCs w:val="20"/>
    </w:rPr>
  </w:style>
  <w:style w:type="character" w:styleId="PlaceholderText">
    <w:name w:val="Placeholder Text"/>
    <w:basedOn w:val="DefaultParagraphFont"/>
    <w:uiPriority w:val="99"/>
    <w:semiHidden/>
    <w:rsid w:val="00A446AC"/>
    <w:rPr>
      <w:color w:val="808080"/>
    </w:rPr>
  </w:style>
  <w:style w:type="paragraph" w:styleId="BalloonText">
    <w:name w:val="Balloon Text"/>
    <w:basedOn w:val="Normal"/>
    <w:link w:val="BalloonTextChar"/>
    <w:uiPriority w:val="99"/>
    <w:semiHidden/>
    <w:unhideWhenUsed/>
    <w:rsid w:val="00A446A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AC"/>
    <w:rPr>
      <w:rFonts w:ascii="Tahoma" w:eastAsia="MS Mincho" w:hAnsi="Tahoma" w:cs="Tahoma"/>
      <w:sz w:val="16"/>
      <w:szCs w:val="16"/>
    </w:rPr>
  </w:style>
  <w:style w:type="table" w:styleId="TableGrid">
    <w:name w:val="Table Grid"/>
    <w:basedOn w:val="TableNormal"/>
    <w:uiPriority w:val="59"/>
    <w:rsid w:val="00A36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44F24"/>
    <w:pPr>
      <w:ind w:left="720"/>
      <w:contextualSpacing/>
    </w:pPr>
  </w:style>
  <w:style w:type="paragraph" w:styleId="NoSpacing">
    <w:name w:val="No Spacing"/>
    <w:uiPriority w:val="1"/>
    <w:qFormat/>
    <w:rsid w:val="00060F91"/>
    <w:pPr>
      <w:spacing w:after="0" w:line="240" w:lineRule="auto"/>
    </w:pPr>
  </w:style>
  <w:style w:type="paragraph" w:styleId="Header">
    <w:name w:val="header"/>
    <w:basedOn w:val="Normal"/>
    <w:link w:val="HeaderChar"/>
    <w:uiPriority w:val="99"/>
    <w:semiHidden/>
    <w:unhideWhenUsed/>
    <w:rsid w:val="007F471F"/>
    <w:pPr>
      <w:tabs>
        <w:tab w:val="center" w:pos="4680"/>
        <w:tab w:val="right" w:pos="9360"/>
      </w:tabs>
      <w:spacing w:before="0" w:after="0"/>
    </w:pPr>
  </w:style>
  <w:style w:type="character" w:customStyle="1" w:styleId="HeaderChar">
    <w:name w:val="Header Char"/>
    <w:basedOn w:val="DefaultParagraphFont"/>
    <w:link w:val="Header"/>
    <w:uiPriority w:val="99"/>
    <w:semiHidden/>
    <w:rsid w:val="007F471F"/>
    <w:rPr>
      <w:rFonts w:ascii="Times New Roman" w:eastAsia="MS Mincho" w:hAnsi="Times New Roman" w:cs="Times New Roman"/>
      <w:sz w:val="20"/>
      <w:szCs w:val="20"/>
    </w:rPr>
  </w:style>
  <w:style w:type="paragraph" w:styleId="Footer">
    <w:name w:val="footer"/>
    <w:basedOn w:val="Normal"/>
    <w:link w:val="FooterChar"/>
    <w:uiPriority w:val="99"/>
    <w:semiHidden/>
    <w:unhideWhenUsed/>
    <w:rsid w:val="007F471F"/>
    <w:pPr>
      <w:tabs>
        <w:tab w:val="center" w:pos="4680"/>
        <w:tab w:val="right" w:pos="9360"/>
      </w:tabs>
      <w:spacing w:before="0" w:after="0"/>
    </w:pPr>
  </w:style>
  <w:style w:type="character" w:customStyle="1" w:styleId="FooterChar">
    <w:name w:val="Footer Char"/>
    <w:basedOn w:val="DefaultParagraphFont"/>
    <w:link w:val="Footer"/>
    <w:uiPriority w:val="99"/>
    <w:semiHidden/>
    <w:rsid w:val="007F471F"/>
    <w:rPr>
      <w:rFonts w:ascii="Times New Roman" w:eastAsia="MS Mincho" w:hAnsi="Times New Roman" w:cs="Times New Roman"/>
      <w:sz w:val="20"/>
      <w:szCs w:val="20"/>
    </w:rPr>
  </w:style>
  <w:style w:type="character" w:customStyle="1" w:styleId="a">
    <w:name w:val="a"/>
    <w:basedOn w:val="DefaultParagraphFont"/>
    <w:rsid w:val="00A02077"/>
  </w:style>
  <w:style w:type="paragraph" w:styleId="NormalWeb">
    <w:name w:val="Normal (Web)"/>
    <w:basedOn w:val="Normal"/>
    <w:uiPriority w:val="99"/>
    <w:unhideWhenUsed/>
    <w:rsid w:val="003B68CC"/>
    <w:pPr>
      <w:spacing w:before="100" w:beforeAutospacing="1" w:after="100" w:afterAutospacing="1"/>
      <w:jc w:val="left"/>
    </w:pPr>
    <w:rPr>
      <w:rFonts w:eastAsia="Times New Roman"/>
      <w:sz w:val="24"/>
      <w:szCs w:val="24"/>
      <w:lang w:val="id-ID" w:eastAsia="id-ID"/>
    </w:rPr>
  </w:style>
  <w:style w:type="table" w:customStyle="1" w:styleId="LightShading1">
    <w:name w:val="Light Shading1"/>
    <w:basedOn w:val="TableNormal"/>
    <w:uiPriority w:val="60"/>
    <w:rsid w:val="00E762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7622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rsid w:val="00274442"/>
    <w:rPr>
      <w:rFonts w:ascii="Times New Roman" w:eastAsia="MS Mincho" w:hAnsi="Times New Roman" w:cs="Times New Roman"/>
      <w:sz w:val="20"/>
      <w:szCs w:val="20"/>
    </w:rPr>
  </w:style>
  <w:style w:type="character" w:styleId="Hyperlink">
    <w:name w:val="Hyperlink"/>
    <w:basedOn w:val="DefaultParagraphFont"/>
    <w:uiPriority w:val="99"/>
    <w:unhideWhenUsed/>
    <w:rsid w:val="00CF5E8E"/>
    <w:rPr>
      <w:color w:val="0000FF" w:themeColor="hyperlink"/>
      <w:u w:val="single"/>
    </w:rPr>
  </w:style>
  <w:style w:type="paragraph" w:styleId="BodyText">
    <w:name w:val="Body Text"/>
    <w:basedOn w:val="Normal"/>
    <w:link w:val="BodyTextChar"/>
    <w:rsid w:val="00956368"/>
    <w:pPr>
      <w:spacing w:before="100" w:beforeAutospacing="1" w:after="100" w:afterAutospacing="1"/>
    </w:pPr>
    <w:rPr>
      <w:rFonts w:ascii="Arial" w:eastAsia="Times New Roman" w:hAnsi="Arial" w:cs="Arial"/>
      <w:sz w:val="22"/>
      <w:szCs w:val="24"/>
    </w:rPr>
  </w:style>
  <w:style w:type="character" w:customStyle="1" w:styleId="BodyTextChar">
    <w:name w:val="Body Text Char"/>
    <w:basedOn w:val="DefaultParagraphFont"/>
    <w:link w:val="BodyText"/>
    <w:rsid w:val="00956368"/>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4781-F648-4054-82BE-D55F4176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4214</Words>
  <Characters>24021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Template artikel jurnal</vt:lpstr>
    </vt:vector>
  </TitlesOfParts>
  <Company/>
  <LinksUpToDate>false</LinksUpToDate>
  <CharactersWithSpaces>28179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dc:title>
  <dc:creator>Dadan Kusnandar</dc:creator>
  <cp:lastModifiedBy>DINKES</cp:lastModifiedBy>
  <cp:revision>18</cp:revision>
  <cp:lastPrinted>2015-04-09T06:43:00Z</cp:lastPrinted>
  <dcterms:created xsi:type="dcterms:W3CDTF">2016-02-14T01:01:00Z</dcterms:created>
  <dcterms:modified xsi:type="dcterms:W3CDTF">2016-10-14T02:13:00Z</dcterms:modified>
</cp:coreProperties>
</file>