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1B" w:rsidRPr="00656920" w:rsidRDefault="001E2FEA" w:rsidP="00656920">
      <w:pPr>
        <w:tabs>
          <w:tab w:val="left" w:pos="3544"/>
        </w:tabs>
        <w:spacing w:line="240" w:lineRule="auto"/>
        <w:jc w:val="center"/>
        <w:rPr>
          <w:b/>
          <w:sz w:val="32"/>
          <w:szCs w:val="28"/>
        </w:rPr>
      </w:pPr>
      <w:r w:rsidRPr="00656920">
        <w:rPr>
          <w:b/>
          <w:bCs/>
          <w:noProof/>
          <w:sz w:val="32"/>
          <w:szCs w:val="28"/>
        </w:rPr>
        <w:pict>
          <v:oval id="Oval 3" o:spid="_x0000_s1026" style="position:absolute;left:0;text-align:left;margin-left:396.8pt;margin-top:-46.2pt;width:17.4pt;height:17.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" fillcolor="white [3201]" stroked="f" strokeweight="2pt"/>
        </w:pict>
      </w:r>
      <w:r w:rsidR="0090101B" w:rsidRPr="00656920">
        <w:rPr>
          <w:b/>
          <w:bCs/>
          <w:sz w:val="32"/>
          <w:szCs w:val="28"/>
        </w:rPr>
        <w:t>P</w:t>
      </w:r>
      <w:r w:rsidR="00656920" w:rsidRPr="00656920">
        <w:rPr>
          <w:b/>
          <w:bCs/>
          <w:sz w:val="32"/>
          <w:szCs w:val="28"/>
        </w:rPr>
        <w:t xml:space="preserve">engaruh Profitabilitas, </w:t>
      </w:r>
      <w:r w:rsidR="00656920" w:rsidRPr="00656920">
        <w:rPr>
          <w:b/>
          <w:bCs/>
          <w:i/>
          <w:sz w:val="32"/>
          <w:szCs w:val="28"/>
        </w:rPr>
        <w:t>Leverage</w:t>
      </w:r>
      <w:r w:rsidR="00656920" w:rsidRPr="00656920">
        <w:rPr>
          <w:b/>
          <w:bCs/>
          <w:sz w:val="32"/>
          <w:szCs w:val="28"/>
        </w:rPr>
        <w:t xml:space="preserve"> dan </w:t>
      </w:r>
      <w:r w:rsidR="00656920" w:rsidRPr="00656920">
        <w:rPr>
          <w:b/>
          <w:bCs/>
          <w:i/>
          <w:sz w:val="32"/>
          <w:szCs w:val="28"/>
        </w:rPr>
        <w:t>Market to Book Ratios</w:t>
      </w:r>
      <w:r w:rsidR="00656920" w:rsidRPr="00656920">
        <w:rPr>
          <w:b/>
          <w:bCs/>
          <w:sz w:val="32"/>
          <w:szCs w:val="28"/>
        </w:rPr>
        <w:t xml:space="preserve"> Terhadap </w:t>
      </w:r>
      <w:r w:rsidR="00656920" w:rsidRPr="00656920">
        <w:rPr>
          <w:b/>
          <w:bCs/>
          <w:i/>
          <w:sz w:val="32"/>
          <w:szCs w:val="28"/>
        </w:rPr>
        <w:t xml:space="preserve">Return </w:t>
      </w:r>
      <w:r w:rsidR="00656920" w:rsidRPr="00656920">
        <w:rPr>
          <w:b/>
          <w:bCs/>
          <w:sz w:val="32"/>
          <w:szCs w:val="28"/>
        </w:rPr>
        <w:t>Saham Perusahaan Manufaktur Sektor Industri Dasar dan Kimia yang Terdaftar di Bursa Efek Indonesia (BEI) per 30 September 2015</w:t>
      </w:r>
    </w:p>
    <w:p w:rsidR="0090101B" w:rsidRPr="003F6E38" w:rsidRDefault="0090101B" w:rsidP="0090101B">
      <w:pPr>
        <w:tabs>
          <w:tab w:val="left" w:pos="3544"/>
        </w:tabs>
        <w:spacing w:line="240" w:lineRule="auto"/>
        <w:jc w:val="center"/>
        <w:rPr>
          <w:b/>
          <w:sz w:val="32"/>
          <w:szCs w:val="32"/>
        </w:rPr>
      </w:pPr>
    </w:p>
    <w:p w:rsidR="0090101B" w:rsidRPr="00C13381" w:rsidRDefault="0090101B" w:rsidP="0090101B">
      <w:pPr>
        <w:tabs>
          <w:tab w:val="left" w:pos="3544"/>
        </w:tabs>
        <w:jc w:val="center"/>
        <w:rPr>
          <w:b/>
          <w:sz w:val="52"/>
          <w:szCs w:val="52"/>
        </w:rPr>
      </w:pPr>
      <w:r>
        <w:rPr>
          <w:b/>
          <w:sz w:val="52"/>
          <w:szCs w:val="52"/>
        </w:rPr>
        <w:t>JURNAL</w:t>
      </w:r>
    </w:p>
    <w:p w:rsidR="0090101B" w:rsidRPr="000A10CB" w:rsidRDefault="0090101B" w:rsidP="0090101B">
      <w:pPr>
        <w:tabs>
          <w:tab w:val="left" w:pos="3544"/>
        </w:tabs>
        <w:spacing w:after="240"/>
        <w:jc w:val="center"/>
        <w:rPr>
          <w:b/>
          <w:sz w:val="28"/>
          <w:szCs w:val="28"/>
        </w:rPr>
      </w:pPr>
      <w:r w:rsidRPr="000A10CB">
        <w:rPr>
          <w:b/>
          <w:sz w:val="28"/>
          <w:szCs w:val="28"/>
        </w:rPr>
        <w:t>OLEH:</w:t>
      </w:r>
    </w:p>
    <w:p w:rsidR="0090101B" w:rsidRPr="00C13381" w:rsidRDefault="00656920" w:rsidP="0090101B">
      <w:pPr>
        <w:tabs>
          <w:tab w:val="left" w:pos="3544"/>
        </w:tabs>
        <w:spacing w:after="240" w:line="240" w:lineRule="auto"/>
        <w:jc w:val="center"/>
        <w:rPr>
          <w:b/>
          <w:sz w:val="36"/>
          <w:szCs w:val="36"/>
          <w:u w:val="single"/>
        </w:rPr>
      </w:pPr>
      <w:r>
        <w:rPr>
          <w:b/>
          <w:sz w:val="36"/>
          <w:szCs w:val="36"/>
          <w:u w:val="single"/>
        </w:rPr>
        <w:t>MUHAMMAD DAIRUL MA’RIF</w:t>
      </w:r>
    </w:p>
    <w:p w:rsidR="0090101B" w:rsidRPr="00584CD6" w:rsidRDefault="0090101B" w:rsidP="0090101B">
      <w:pPr>
        <w:tabs>
          <w:tab w:val="left" w:pos="3544"/>
        </w:tabs>
        <w:spacing w:after="240" w:line="240" w:lineRule="auto"/>
        <w:jc w:val="center"/>
        <w:rPr>
          <w:b/>
          <w:sz w:val="36"/>
          <w:szCs w:val="36"/>
        </w:rPr>
      </w:pPr>
      <w:r>
        <w:rPr>
          <w:b/>
          <w:noProof/>
          <w:sz w:val="28"/>
          <w:szCs w:val="28"/>
        </w:rPr>
        <w:drawing>
          <wp:anchor distT="0" distB="0" distL="114300" distR="114300" simplePos="0" relativeHeight="251659264" behindDoc="0" locked="0" layoutInCell="1" allowOverlap="1">
            <wp:simplePos x="0" y="0"/>
            <wp:positionH relativeFrom="column">
              <wp:posOffset>1526304</wp:posOffset>
            </wp:positionH>
            <wp:positionV relativeFrom="paragraph">
              <wp:posOffset>354804</wp:posOffset>
            </wp:positionV>
            <wp:extent cx="2254102" cy="2300482"/>
            <wp:effectExtent l="0" t="0" r="0" b="5080"/>
            <wp:wrapNone/>
            <wp:docPr id="2" name="Picture 17" descr="UniversitasMuhammadiya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versitasMuhammadiyah01"/>
                    <pic:cNvPicPr>
                      <a:picLocks noChangeAspect="1" noChangeArrowheads="1"/>
                    </pic:cNvPicPr>
                  </pic:nvPicPr>
                  <pic:blipFill>
                    <a:blip r:embed="rId8" cstate="print"/>
                    <a:srcRect/>
                    <a:stretch>
                      <a:fillRect/>
                    </a:stretch>
                  </pic:blipFill>
                  <pic:spPr bwMode="auto">
                    <a:xfrm>
                      <a:off x="0" y="0"/>
                      <a:ext cx="2255795" cy="2302210"/>
                    </a:xfrm>
                    <a:prstGeom prst="rect">
                      <a:avLst/>
                    </a:prstGeom>
                    <a:noFill/>
                    <a:ln w="9525">
                      <a:noFill/>
                      <a:miter lim="800000"/>
                      <a:headEnd/>
                      <a:tailEnd/>
                    </a:ln>
                  </pic:spPr>
                </pic:pic>
              </a:graphicData>
            </a:graphic>
          </wp:anchor>
        </w:drawing>
      </w:r>
      <w:r w:rsidR="00656920">
        <w:rPr>
          <w:b/>
          <w:sz w:val="36"/>
          <w:szCs w:val="36"/>
        </w:rPr>
        <w:t>NIM. 121310497</w:t>
      </w:r>
    </w:p>
    <w:p w:rsidR="0090101B" w:rsidRPr="000A10CB" w:rsidRDefault="0090101B" w:rsidP="0090101B">
      <w:pPr>
        <w:tabs>
          <w:tab w:val="left" w:pos="3544"/>
        </w:tabs>
        <w:spacing w:after="240"/>
        <w:jc w:val="center"/>
        <w:rPr>
          <w:b/>
          <w:sz w:val="28"/>
          <w:szCs w:val="28"/>
        </w:rPr>
      </w:pPr>
    </w:p>
    <w:p w:rsidR="0090101B" w:rsidRPr="000A10CB" w:rsidRDefault="0090101B" w:rsidP="0090101B">
      <w:pPr>
        <w:tabs>
          <w:tab w:val="left" w:pos="3544"/>
        </w:tabs>
        <w:spacing w:after="240"/>
        <w:rPr>
          <w:b/>
          <w:sz w:val="28"/>
          <w:szCs w:val="28"/>
        </w:rPr>
      </w:pPr>
    </w:p>
    <w:p w:rsidR="0090101B" w:rsidRPr="000A10CB" w:rsidRDefault="0090101B" w:rsidP="0090101B">
      <w:pPr>
        <w:tabs>
          <w:tab w:val="left" w:pos="3544"/>
        </w:tabs>
        <w:spacing w:after="240"/>
        <w:jc w:val="center"/>
        <w:rPr>
          <w:b/>
          <w:sz w:val="28"/>
          <w:szCs w:val="28"/>
        </w:rPr>
      </w:pPr>
    </w:p>
    <w:p w:rsidR="0090101B" w:rsidRPr="000A10CB" w:rsidRDefault="0090101B" w:rsidP="0090101B">
      <w:pPr>
        <w:tabs>
          <w:tab w:val="left" w:pos="3544"/>
        </w:tabs>
        <w:spacing w:after="240"/>
        <w:jc w:val="center"/>
        <w:rPr>
          <w:b/>
          <w:sz w:val="28"/>
          <w:szCs w:val="28"/>
        </w:rPr>
      </w:pPr>
    </w:p>
    <w:p w:rsidR="0090101B" w:rsidRDefault="0090101B" w:rsidP="0090101B">
      <w:pPr>
        <w:tabs>
          <w:tab w:val="left" w:pos="3544"/>
        </w:tabs>
        <w:spacing w:after="240" w:line="360" w:lineRule="auto"/>
        <w:jc w:val="center"/>
        <w:rPr>
          <w:b/>
          <w:sz w:val="32"/>
          <w:szCs w:val="32"/>
        </w:rPr>
      </w:pPr>
    </w:p>
    <w:p w:rsidR="0090101B" w:rsidRPr="00584CD6" w:rsidRDefault="0090101B" w:rsidP="0090101B">
      <w:pPr>
        <w:tabs>
          <w:tab w:val="left" w:pos="3544"/>
        </w:tabs>
        <w:spacing w:after="240" w:line="360" w:lineRule="auto"/>
        <w:jc w:val="center"/>
        <w:rPr>
          <w:b/>
          <w:sz w:val="32"/>
          <w:szCs w:val="32"/>
        </w:rPr>
      </w:pPr>
      <w:r w:rsidRPr="00584CD6">
        <w:rPr>
          <w:b/>
          <w:sz w:val="32"/>
          <w:szCs w:val="32"/>
        </w:rPr>
        <w:t>PROGRAM STUDI MANAJEMEN</w:t>
      </w:r>
    </w:p>
    <w:p w:rsidR="0090101B" w:rsidRPr="00584CD6" w:rsidRDefault="0090101B" w:rsidP="0090101B">
      <w:pPr>
        <w:tabs>
          <w:tab w:val="left" w:pos="3544"/>
        </w:tabs>
        <w:spacing w:after="240" w:line="360" w:lineRule="auto"/>
        <w:jc w:val="center"/>
        <w:rPr>
          <w:b/>
          <w:sz w:val="32"/>
          <w:szCs w:val="32"/>
        </w:rPr>
      </w:pPr>
      <w:r w:rsidRPr="00584CD6">
        <w:rPr>
          <w:b/>
          <w:sz w:val="32"/>
          <w:szCs w:val="32"/>
        </w:rPr>
        <w:t>FAKULTAS EKONOMI</w:t>
      </w:r>
    </w:p>
    <w:p w:rsidR="0090101B" w:rsidRPr="00584CD6" w:rsidRDefault="0090101B" w:rsidP="0090101B">
      <w:pPr>
        <w:tabs>
          <w:tab w:val="left" w:pos="3544"/>
        </w:tabs>
        <w:spacing w:after="240" w:line="360" w:lineRule="auto"/>
        <w:jc w:val="center"/>
        <w:rPr>
          <w:b/>
          <w:sz w:val="32"/>
          <w:szCs w:val="32"/>
        </w:rPr>
      </w:pPr>
      <w:r w:rsidRPr="00584CD6">
        <w:rPr>
          <w:b/>
          <w:sz w:val="32"/>
          <w:szCs w:val="32"/>
        </w:rPr>
        <w:t>UNIVERSITAS MUHAMMADIYAH PONTIANAK</w:t>
      </w:r>
    </w:p>
    <w:p w:rsidR="0090101B" w:rsidRPr="00CA16C2" w:rsidRDefault="0090101B" w:rsidP="0090101B">
      <w:pPr>
        <w:tabs>
          <w:tab w:val="left" w:pos="3544"/>
        </w:tabs>
        <w:spacing w:after="240" w:line="360" w:lineRule="auto"/>
        <w:jc w:val="center"/>
        <w:rPr>
          <w:b/>
          <w:sz w:val="28"/>
          <w:szCs w:val="28"/>
        </w:rPr>
      </w:pPr>
      <w:r>
        <w:rPr>
          <w:b/>
          <w:sz w:val="32"/>
          <w:szCs w:val="32"/>
        </w:rPr>
        <w:t>201</w:t>
      </w:r>
      <w:r w:rsidR="007A73A9">
        <w:rPr>
          <w:b/>
          <w:sz w:val="32"/>
          <w:szCs w:val="32"/>
        </w:rPr>
        <w:t>6</w:t>
      </w:r>
    </w:p>
    <w:p w:rsidR="00142B6A" w:rsidRPr="006544BC" w:rsidRDefault="00ED337D" w:rsidP="0090101B">
      <w:pPr>
        <w:pStyle w:val="ListParagraph"/>
        <w:numPr>
          <w:ilvl w:val="0"/>
          <w:numId w:val="1"/>
        </w:numPr>
        <w:spacing w:line="360" w:lineRule="auto"/>
        <w:rPr>
          <w:b/>
          <w:sz w:val="28"/>
        </w:rPr>
      </w:pPr>
      <w:r w:rsidRPr="006544BC">
        <w:rPr>
          <w:b/>
          <w:sz w:val="28"/>
        </w:rPr>
        <w:lastRenderedPageBreak/>
        <w:t>Latar Belakang</w:t>
      </w:r>
    </w:p>
    <w:p w:rsidR="00656920" w:rsidRDefault="00656920" w:rsidP="0090101B">
      <w:pPr>
        <w:pStyle w:val="ListParagraph"/>
        <w:spacing w:line="360" w:lineRule="auto"/>
        <w:ind w:firstLine="720"/>
      </w:pPr>
      <w:r w:rsidRPr="00976A55">
        <w:t xml:space="preserve">Bursa Efek Indonesia (BEI) merupakan </w:t>
      </w:r>
      <w:r>
        <w:t>suatu tempat (wadah) yang</w:t>
      </w:r>
      <w:r w:rsidRPr="00976A55">
        <w:t xml:space="preserve"> menjadi</w:t>
      </w:r>
      <w:r>
        <w:t xml:space="preserve"> salah satu sarana alternatif bagi </w:t>
      </w:r>
      <w:r w:rsidRPr="00976A55">
        <w:t>perusahaan</w:t>
      </w:r>
      <w:r>
        <w:t xml:space="preserve">-perusahaan yang telah </w:t>
      </w:r>
      <w:r>
        <w:rPr>
          <w:i/>
        </w:rPr>
        <w:t xml:space="preserve">go public </w:t>
      </w:r>
      <w:r>
        <w:t>(terbuka)</w:t>
      </w:r>
      <w:r w:rsidRPr="00976A55">
        <w:t xml:space="preserve"> untuk mencari</w:t>
      </w:r>
      <w:r>
        <w:t xml:space="preserve"> dana</w:t>
      </w:r>
      <w:r w:rsidRPr="00976A55">
        <w:t xml:space="preserve"> </w:t>
      </w:r>
      <w:r>
        <w:t>tambahan non-perbankan. Dalam BEI terdapat instrumen yang digunakan sebagai indikator dari pergerakan harga saham dan kinerja saham atau sekumpulan saham yang dapat berbentuk indeks saham individu maupun indeks sekumpulan saham baik sektoral maupun non-sektoral. BEI</w:t>
      </w:r>
      <w:r w:rsidRPr="009372D9">
        <w:t xml:space="preserve"> memiliki 15 (limabelas) indeks saham (non-sektoral) dan 9 (sembilan) indeks sektoral. </w:t>
      </w:r>
      <w:r>
        <w:t>Ada beberapa sektor untuk indeks saham baik non sektoral maupun sektoral salah satunya adalah sektor Industri Dasar dan Kimia. Masih sedikitnya perusahaan telekomunikasi dan indutri dasar dan kimia yang mencari dana melalui pasar modal membuka kesempatan luas bagi perusahaan lain utuk mencari dana di BEI. Hal ini terlihat dari total kapitalisasi pasarnya. Per 30 September 2013 total kapitalisasi pasar sektor industri dasar dan kimia sebesar Rp.306.987.509.973,00 mengalami penurunan per 30 September 2014 dan 2015 menjadi Rp.303.289.636.000,00 dan Rp.303.199.872.430,00.</w:t>
      </w:r>
    </w:p>
    <w:p w:rsidR="00656920" w:rsidRDefault="00656920" w:rsidP="0090101B">
      <w:pPr>
        <w:pStyle w:val="ListParagraph"/>
        <w:spacing w:line="360" w:lineRule="auto"/>
        <w:ind w:firstLine="720"/>
      </w:pPr>
      <w:r w:rsidRPr="004A7F3B">
        <w:rPr>
          <w:i/>
        </w:rPr>
        <w:t>Return</w:t>
      </w:r>
      <w:r w:rsidRPr="004A7F3B">
        <w:t xml:space="preserve"> saham merupakan suatu faktor yang mempengaruhi minat investor untuk melakukan suatu investasi dalam suatu perusahaan</w:t>
      </w:r>
      <w:r>
        <w:t xml:space="preserve">. </w:t>
      </w:r>
      <w:r w:rsidRPr="00976B4E">
        <w:t xml:space="preserve">Komponen </w:t>
      </w:r>
      <w:r w:rsidRPr="00976B4E">
        <w:rPr>
          <w:i/>
        </w:rPr>
        <w:t>return</w:t>
      </w:r>
      <w:r w:rsidRPr="00976B4E">
        <w:t xml:space="preserve"> terdiri dari dua jenis y</w:t>
      </w:r>
      <w:r>
        <w:t xml:space="preserve">aitu </w:t>
      </w:r>
      <w:r w:rsidRPr="00976B4E">
        <w:rPr>
          <w:i/>
        </w:rPr>
        <w:t>current income</w:t>
      </w:r>
      <w:r>
        <w:t xml:space="preserve"> dan </w:t>
      </w:r>
      <w:r w:rsidRPr="00976B4E">
        <w:rPr>
          <w:i/>
        </w:rPr>
        <w:t>capital gain</w:t>
      </w:r>
      <w:r w:rsidRPr="00976B4E">
        <w:t xml:space="preserve">. </w:t>
      </w:r>
      <w:r w:rsidRPr="00976B4E">
        <w:rPr>
          <w:i/>
        </w:rPr>
        <w:t>Current income</w:t>
      </w:r>
      <w:r w:rsidRPr="00976B4E">
        <w:t xml:space="preserve"> </w:t>
      </w:r>
      <w:r>
        <w:t>merupakan</w:t>
      </w:r>
      <w:r w:rsidRPr="00976B4E">
        <w:t xml:space="preserve"> keuntungan yang diperoleh melalui pembayaran yang bersifat periodik, seperti pembayaran bunga obligasi, dividen dan lain-lain.</w:t>
      </w:r>
      <w:r w:rsidR="001B2013" w:rsidRPr="001B2013">
        <w:t xml:space="preserve"> </w:t>
      </w:r>
      <w:r w:rsidR="001B2013" w:rsidRPr="00976B4E">
        <w:t xml:space="preserve">Sedangkan </w:t>
      </w:r>
      <w:r w:rsidR="001B2013" w:rsidRPr="00976B4E">
        <w:rPr>
          <w:i/>
        </w:rPr>
        <w:t>capital gain</w:t>
      </w:r>
      <w:r w:rsidR="001B2013" w:rsidRPr="00976B4E">
        <w:t xml:space="preserve"> yaitu keuntungan yang diterima karena adanya selisih antar harga jual dan harga beli dari instrumen investasi.</w:t>
      </w:r>
    </w:p>
    <w:p w:rsidR="001B2013" w:rsidRDefault="001B2013" w:rsidP="001B2013">
      <w:pPr>
        <w:pStyle w:val="ListParagraph"/>
        <w:ind w:firstLine="720"/>
      </w:pPr>
      <w:r w:rsidRPr="006F749C">
        <w:t>Laporan keuangan merupakan sebuah informasi yang penting bagi investor dalam mengambil sebuah keputusan investasi. Manfaat laporan keuangan tersebut menjadi optimal bagi investor apabila investor dap</w:t>
      </w:r>
      <w:r>
        <w:t>a</w:t>
      </w:r>
      <w:r w:rsidRPr="006F749C">
        <w:t xml:space="preserve">t menganalisis lebih lanjut melalui analisis rasio keuangan. Salah satu rasio keuangan yang sering digunakan adalah profitabilitas dan </w:t>
      </w:r>
      <w:r w:rsidRPr="006F749C">
        <w:rPr>
          <w:i/>
        </w:rPr>
        <w:t>leverage</w:t>
      </w:r>
      <w:r w:rsidRPr="006F749C">
        <w:t xml:space="preserve"> yang </w:t>
      </w:r>
      <w:r w:rsidRPr="006F749C">
        <w:lastRenderedPageBreak/>
        <w:t>merupakan penilaian atas kinerja internal sebuah perusahaan.</w:t>
      </w:r>
      <w:r>
        <w:t xml:space="preserve"> Rasio profitabilitas yang digunakan adalah </w:t>
      </w:r>
      <w:r>
        <w:rPr>
          <w:i/>
        </w:rPr>
        <w:t xml:space="preserve">Return on Equity </w:t>
      </w:r>
      <w:r>
        <w:t xml:space="preserve">(ROE). Sedangkan rasio </w:t>
      </w:r>
      <w:r>
        <w:rPr>
          <w:i/>
        </w:rPr>
        <w:t>leverage</w:t>
      </w:r>
      <w:r>
        <w:t xml:space="preserve">nya yaitu </w:t>
      </w:r>
      <w:r>
        <w:rPr>
          <w:i/>
        </w:rPr>
        <w:t xml:space="preserve">Debt to Equity Ratios </w:t>
      </w:r>
      <w:r>
        <w:t>(DER).</w:t>
      </w:r>
    </w:p>
    <w:p w:rsidR="001B2013" w:rsidRPr="001B2013" w:rsidRDefault="001B2013" w:rsidP="0090101B">
      <w:pPr>
        <w:pStyle w:val="ListParagraph"/>
        <w:spacing w:line="360" w:lineRule="auto"/>
        <w:ind w:firstLine="720"/>
      </w:pPr>
      <w:r w:rsidRPr="003B65F3">
        <w:t>Selain itu</w:t>
      </w:r>
      <w:r>
        <w:t>,</w:t>
      </w:r>
      <w:r w:rsidRPr="003B65F3">
        <w:t xml:space="preserve"> terdapat sebuah rasio yang dapat digunakan untuk menilai kinerja sebuah perusahaan yang sifatnya eksternal yaitu </w:t>
      </w:r>
      <w:r w:rsidRPr="003B65F3">
        <w:rPr>
          <w:i/>
        </w:rPr>
        <w:t xml:space="preserve">Market to Book Ratios </w:t>
      </w:r>
      <w:r w:rsidRPr="003B65F3">
        <w:t xml:space="preserve">(MBR). Rasio ini merupakan cerminan apresiasi atau penilaian investor terhadap nilai buku sebuah perusahaan melalui harga saham. </w:t>
      </w:r>
      <w:r w:rsidRPr="003B65F3">
        <w:rPr>
          <w:i/>
        </w:rPr>
        <w:t xml:space="preserve">Market to Book Ratios </w:t>
      </w:r>
      <w:r w:rsidRPr="003B65F3">
        <w:t xml:space="preserve">yang berasal dari neraca memberikan informasi nilai bersih sumber daya perusahaan. Semakin tinggi </w:t>
      </w:r>
      <w:r w:rsidRPr="003B65F3">
        <w:rPr>
          <w:i/>
        </w:rPr>
        <w:t>market to book ratios</w:t>
      </w:r>
      <w:r w:rsidRPr="003B65F3">
        <w:t xml:space="preserve">, maka semakin baik pula penilaan investor terhadap nilai buku sebuah perusahaan. </w:t>
      </w:r>
      <w:r w:rsidRPr="003B65F3">
        <w:rPr>
          <w:i/>
        </w:rPr>
        <w:t>Market to Book Ratios</w:t>
      </w:r>
      <w:r w:rsidRPr="003B65F3">
        <w:t xml:space="preserve"> ini merupakan rasio yang menunjukkan perbandingan antara jumlah lembar saham yang beredar dan harga saham terhadap kewajiban.</w:t>
      </w:r>
    </w:p>
    <w:p w:rsidR="001A0847" w:rsidRPr="001B2013" w:rsidRDefault="001A0847" w:rsidP="0090101B">
      <w:pPr>
        <w:pStyle w:val="ListParagraph"/>
        <w:spacing w:line="360" w:lineRule="auto"/>
        <w:ind w:firstLine="720"/>
      </w:pPr>
      <w:r>
        <w:t xml:space="preserve">Dengan memperhatikan latar belakang di atas, maka yang menjadi permasalahan dalam penelitian adalah apakah ada pengaruh </w:t>
      </w:r>
      <w:r w:rsidR="001B2013">
        <w:t xml:space="preserve">Profitabilitas, </w:t>
      </w:r>
      <w:r w:rsidR="001B2013">
        <w:rPr>
          <w:i/>
        </w:rPr>
        <w:t>Leverage</w:t>
      </w:r>
      <w:r w:rsidR="001B2013">
        <w:t xml:space="preserve"> dan </w:t>
      </w:r>
      <w:r w:rsidR="001B2013">
        <w:rPr>
          <w:i/>
        </w:rPr>
        <w:t>Market to Book Ratios</w:t>
      </w:r>
      <w:r w:rsidR="001B2013">
        <w:t xml:space="preserve"> T</w:t>
      </w:r>
      <w:r>
        <w:t xml:space="preserve">erhadap </w:t>
      </w:r>
      <w:r>
        <w:rPr>
          <w:i/>
        </w:rPr>
        <w:t>Return</w:t>
      </w:r>
      <w:r w:rsidR="001B2013">
        <w:t xml:space="preserve"> Saham P</w:t>
      </w:r>
      <w:r>
        <w:t xml:space="preserve">erusahaan </w:t>
      </w:r>
      <w:r w:rsidR="001B2013">
        <w:t xml:space="preserve">Manufaktur Sektor Industri Dasar dan Kimia yang Terdaftar di Bursa Efek Indonesia (BEI) per 30 September 2015 serta bagaimana </w:t>
      </w:r>
      <w:r w:rsidR="001B2013">
        <w:rPr>
          <w:i/>
        </w:rPr>
        <w:t>Expected Return</w:t>
      </w:r>
      <w:r w:rsidR="001B2013">
        <w:t xml:space="preserve"> dan risikonya per 30 September 2016.</w:t>
      </w:r>
    </w:p>
    <w:p w:rsidR="0090101B" w:rsidRDefault="001A0847" w:rsidP="001B2013">
      <w:pPr>
        <w:pStyle w:val="ListParagraph"/>
        <w:spacing w:line="360" w:lineRule="auto"/>
        <w:ind w:firstLine="720"/>
      </w:pPr>
      <w:r>
        <w:t xml:space="preserve">Berdasarkan perumusan masalah, maka tujuan penelitian menjelaskan pengaruh </w:t>
      </w:r>
      <w:r w:rsidR="001B2013">
        <w:t xml:space="preserve">Profitabilitas, </w:t>
      </w:r>
      <w:r w:rsidR="001B2013">
        <w:rPr>
          <w:i/>
        </w:rPr>
        <w:t>Leverage</w:t>
      </w:r>
      <w:r w:rsidR="001B2013">
        <w:t xml:space="preserve"> dan </w:t>
      </w:r>
      <w:r w:rsidR="001B2013">
        <w:rPr>
          <w:i/>
        </w:rPr>
        <w:t>Market to Book Ratios</w:t>
      </w:r>
      <w:r w:rsidR="001B2013">
        <w:t xml:space="preserve"> Terhadap </w:t>
      </w:r>
      <w:r w:rsidR="001B2013">
        <w:rPr>
          <w:i/>
        </w:rPr>
        <w:t>Return</w:t>
      </w:r>
      <w:r w:rsidR="001B2013">
        <w:t xml:space="preserve"> Saham Perusahaan Manufaktur Sektor Industri Dasar dan Kimia yang Terdaftar di Bursa Efek Indonesia (BEI) per 30 September 2015 serta seberapa besar tingkat </w:t>
      </w:r>
      <w:r w:rsidR="001B2013">
        <w:rPr>
          <w:i/>
        </w:rPr>
        <w:t>Expected Return</w:t>
      </w:r>
      <w:r w:rsidR="001B2013">
        <w:t xml:space="preserve"> dan risikonya per 30 September 2016.</w:t>
      </w:r>
    </w:p>
    <w:p w:rsidR="00142B6A" w:rsidRPr="006544BC" w:rsidRDefault="00142B6A" w:rsidP="0090101B">
      <w:pPr>
        <w:pStyle w:val="ListParagraph"/>
        <w:numPr>
          <w:ilvl w:val="0"/>
          <w:numId w:val="1"/>
        </w:numPr>
        <w:spacing w:line="360" w:lineRule="auto"/>
        <w:rPr>
          <w:b/>
          <w:sz w:val="28"/>
        </w:rPr>
      </w:pPr>
      <w:r w:rsidRPr="006544BC">
        <w:rPr>
          <w:b/>
          <w:sz w:val="28"/>
        </w:rPr>
        <w:t>Tinjauan Pustaka</w:t>
      </w:r>
    </w:p>
    <w:p w:rsidR="00275471" w:rsidRDefault="00275471" w:rsidP="00275471">
      <w:pPr>
        <w:pStyle w:val="ListParagraph"/>
        <w:spacing w:line="360" w:lineRule="auto"/>
        <w:ind w:firstLine="720"/>
      </w:pPr>
      <w:r>
        <w:t xml:space="preserve">Menurut Tandelilin (2010:13) : “Pasar Modal adalah pertemuan antara pihak yang memiliki kelebihan dana dengan pihak yang membutuhkan dana dengan cara memperjualbelikan sekuritas, atau pasar untuk </w:t>
      </w:r>
      <w:r>
        <w:lastRenderedPageBreak/>
        <w:t>memperjualbelikan sekuritas yang umumnya memiliki umur lebih dari satu tahun, seperti saham dan obligasi”.</w:t>
      </w:r>
    </w:p>
    <w:p w:rsidR="003864B2" w:rsidRPr="00037E52" w:rsidRDefault="003864B2" w:rsidP="00275471">
      <w:pPr>
        <w:pStyle w:val="ListParagraph"/>
        <w:spacing w:line="360" w:lineRule="auto"/>
        <w:ind w:firstLine="720"/>
      </w:pPr>
      <w:r w:rsidRPr="00037E52">
        <w:t xml:space="preserve">Menurut </w:t>
      </w:r>
      <w:r>
        <w:t>pasal 1 UU No. 8 T</w:t>
      </w:r>
      <w:r w:rsidRPr="00037E52">
        <w:t>ahun 1995</w:t>
      </w:r>
      <w:r>
        <w:t xml:space="preserve"> tentang pasar modal</w:t>
      </w:r>
      <w:r w:rsidRPr="00037E52">
        <w:t>: “ bursa efek adalah pihak yang menyelenggarakan dan men</w:t>
      </w:r>
      <w:r>
        <w:t>y</w:t>
      </w:r>
      <w:r w:rsidRPr="00037E52">
        <w:t>ediakan sistem dan sarana untuk mempertemukan penawaran penjual dan beli efek pihak-pihak lain dengan tujuan memperdagangkan efek diantara mereka”.</w:t>
      </w:r>
    </w:p>
    <w:p w:rsidR="00275471" w:rsidRDefault="003864B2" w:rsidP="00275471">
      <w:pPr>
        <w:pStyle w:val="ListParagraph"/>
        <w:spacing w:line="360" w:lineRule="auto"/>
        <w:ind w:firstLine="720"/>
      </w:pPr>
      <w:r>
        <w:t>Instrumen pasar modal dalam konteks praktis lebih banyak dikenal dengan sebutan sekuritas. Sekuritas atau efek atau surat berharga, merupakan asset finansial yang menyatakan klaim keuangan. Sekuritas diperdagangkan di pasar finansial, yang terdiri dari pasar modal dan pasar uang.</w:t>
      </w:r>
      <w:r w:rsidR="00275471">
        <w:t xml:space="preserve"> </w:t>
      </w:r>
      <w:r>
        <w:t>Brigham dan Houston (2006:</w:t>
      </w:r>
      <w:r w:rsidRPr="000557FD">
        <w:t>215) menyatakan bahwa “</w:t>
      </w:r>
      <w:r w:rsidRPr="000557FD">
        <w:rPr>
          <w:i/>
          <w:iCs/>
        </w:rPr>
        <w:t xml:space="preserve">Return </w:t>
      </w:r>
      <w:r w:rsidRPr="000557FD">
        <w:t>atau tingkat pengembalian adalah selisih antara jumlah yang diterima dengan jumlah yang diinvestasikan”.</w:t>
      </w:r>
    </w:p>
    <w:p w:rsidR="00275471" w:rsidRDefault="00275471" w:rsidP="00275471">
      <w:pPr>
        <w:pStyle w:val="ListParagraph"/>
        <w:spacing w:line="360" w:lineRule="auto"/>
        <w:ind w:firstLine="720"/>
      </w:pPr>
      <w:r>
        <w:t>Menurut Tandelilin (2010:105) : “</w:t>
      </w:r>
      <w:r w:rsidRPr="00275471">
        <w:rPr>
          <w:i/>
        </w:rPr>
        <w:t xml:space="preserve">Return </w:t>
      </w:r>
      <w:r>
        <w:t>ekspektasi (</w:t>
      </w:r>
      <w:r w:rsidRPr="00275471">
        <w:rPr>
          <w:i/>
        </w:rPr>
        <w:t>expected return</w:t>
      </w:r>
      <w:r>
        <w:t xml:space="preserve">) adalah </w:t>
      </w:r>
      <w:r w:rsidRPr="00275471">
        <w:rPr>
          <w:i/>
        </w:rPr>
        <w:t>return</w:t>
      </w:r>
      <w:r>
        <w:t xml:space="preserve"> yang diharapkan akan diperoleh investor di masa yang akan datang. Berbeda dengan </w:t>
      </w:r>
      <w:r w:rsidRPr="00275471">
        <w:rPr>
          <w:i/>
        </w:rPr>
        <w:t>return</w:t>
      </w:r>
      <w:r>
        <w:t xml:space="preserve"> realisasi yang sifatnya sudah terjadi, </w:t>
      </w:r>
      <w:r w:rsidRPr="00275471">
        <w:rPr>
          <w:i/>
        </w:rPr>
        <w:t>return</w:t>
      </w:r>
      <w:r>
        <w:t xml:space="preserve"> ekspektasi ini sifatnya belum terjadi”. </w:t>
      </w:r>
    </w:p>
    <w:p w:rsidR="00275471" w:rsidRDefault="00275471" w:rsidP="00275471">
      <w:pPr>
        <w:pStyle w:val="ListParagraph"/>
        <w:spacing w:line="360" w:lineRule="auto"/>
        <w:ind w:firstLine="720"/>
      </w:pPr>
      <w:r>
        <w:t xml:space="preserve">Menurut Wiagustini (2010:76) : “Profitabilitas merupakan kemampuan perusahaan memperoleh laba atau ukuran efektivitas pengelolaan manajemen perusahaan tercermin dalam rasio profitabilitas”. Menurut Sudana (2011:22) : “ROE merupakan kemampuan perusahaan untuk menghasilkan laba bersih setelah pajak dengan menggunakan modal sendiri yang dimiliki oleh perusahaan. Rasio ini penting bagi pihak pemegang saham untuk mengetahui efektivitas dan efisiensi pengelolaan modal sendiri yang dilakukan oleh pihak manajemen perusahaan. Oleh karena itu, semakin tinggi rasio ini bearti semakin efisien pengguanaan modal sendiri yang dilakukan oleh pihak manajemen perusahaan”. </w:t>
      </w:r>
    </w:p>
    <w:p w:rsidR="00275471" w:rsidRDefault="00275471" w:rsidP="00275471">
      <w:pPr>
        <w:pStyle w:val="ListParagraph"/>
        <w:spacing w:line="360" w:lineRule="auto"/>
        <w:ind w:firstLine="720"/>
      </w:pPr>
      <w:r>
        <w:t>M</w:t>
      </w:r>
      <w:r w:rsidRPr="00FB75F4">
        <w:t>enurut Kasmir (2010:112)</w:t>
      </w:r>
      <w:r>
        <w:t xml:space="preserve"> : “</w:t>
      </w:r>
      <w:r w:rsidRPr="00275471">
        <w:rPr>
          <w:i/>
        </w:rPr>
        <w:t>Leverage</w:t>
      </w:r>
      <w:r>
        <w:t xml:space="preserve"> adalah</w:t>
      </w:r>
      <w:r w:rsidRPr="00FB75F4">
        <w:t xml:space="preserve"> rasio yang digunakan untuk mengukur sejauh mana aktiva perusahaan dibiayai oleh utang. Artinya, seberapa besar utang yang ditanggung perusahaan dibandingkan dengan </w:t>
      </w:r>
      <w:r w:rsidRPr="00FB75F4">
        <w:lastRenderedPageBreak/>
        <w:t>aktiva ya</w:t>
      </w:r>
      <w:r>
        <w:t>ng dimilikinya”. Menurut Sudana (2011:20) : “DER ini mengukur proporsi dana yang bersumber dari hutang untuk membiayai ekuitas perusahaan. Semakin besar rasio ini menunjukkan semakin besar porsi penggunaan hutang dalam membiayai investasi pada ekuitas, yang berarti pula risiko keuangan perusahaan meningkat dan sebalinya. DER yang baik &lt; 2”.</w:t>
      </w:r>
    </w:p>
    <w:p w:rsidR="00275471" w:rsidRDefault="00275471" w:rsidP="00275471">
      <w:pPr>
        <w:pStyle w:val="ListParagraph"/>
        <w:spacing w:line="360" w:lineRule="auto"/>
        <w:ind w:firstLine="720"/>
      </w:pPr>
      <w:r>
        <w:t>M</w:t>
      </w:r>
      <w:r w:rsidRPr="00FB75F4">
        <w:t>enurut Wahyud</w:t>
      </w:r>
      <w:r>
        <w:t>i dan Pawestri (2006:92) : “</w:t>
      </w:r>
      <w:r w:rsidRPr="00275471">
        <w:rPr>
          <w:i/>
        </w:rPr>
        <w:t>Market to Book Ratios</w:t>
      </w:r>
      <w:r>
        <w:t xml:space="preserve"> adalah </w:t>
      </w:r>
      <w:r w:rsidRPr="00FB75F4">
        <w:t>rasio yang menunjukkan perbandingan antara jumlah lembar saham yang beredar dan harga saham terhadap kewajiban</w:t>
      </w:r>
      <w:r>
        <w:t>”.</w:t>
      </w:r>
    </w:p>
    <w:p w:rsidR="00142B6A" w:rsidRPr="006544BC" w:rsidRDefault="00ED337D" w:rsidP="0090101B">
      <w:pPr>
        <w:pStyle w:val="ListParagraph"/>
        <w:numPr>
          <w:ilvl w:val="0"/>
          <w:numId w:val="1"/>
        </w:numPr>
        <w:spacing w:line="360" w:lineRule="auto"/>
        <w:rPr>
          <w:b/>
          <w:sz w:val="28"/>
        </w:rPr>
      </w:pPr>
      <w:r w:rsidRPr="006544BC">
        <w:rPr>
          <w:b/>
          <w:sz w:val="28"/>
        </w:rPr>
        <w:t>Metode Penelitian</w:t>
      </w:r>
    </w:p>
    <w:p w:rsidR="005727D8" w:rsidRDefault="00275471" w:rsidP="005727D8">
      <w:pPr>
        <w:pStyle w:val="ListParagraph"/>
        <w:spacing w:line="360" w:lineRule="auto"/>
        <w:ind w:firstLine="720"/>
      </w:pPr>
      <w:r>
        <w:t>Populasi yang digunakan dalam penelitian ini adalah seluruh Perusahaan Manufaktur Sektor Industri Dasar dan Kimia terdaftar di Bursa Efek Indonesia per 30 September 2015 sebanyak 64 perusahaan</w:t>
      </w:r>
      <w:r w:rsidR="00ED337D">
        <w:t>.</w:t>
      </w:r>
      <w:r>
        <w:t xml:space="preserve"> </w:t>
      </w:r>
      <w:r w:rsidR="00ED337D">
        <w:t xml:space="preserve">Dalam penelitian ini teknik yang digunakan dalam pengambilan sampel adalah </w:t>
      </w:r>
      <w:r w:rsidR="005727D8" w:rsidRPr="0040481D">
        <w:rPr>
          <w:i/>
        </w:rPr>
        <w:t>Purposive Sampling</w:t>
      </w:r>
      <w:r w:rsidR="005727D8">
        <w:t>. Menurut Sumanto (2014:169) : “</w:t>
      </w:r>
      <w:r w:rsidR="005727D8">
        <w:rPr>
          <w:i/>
        </w:rPr>
        <w:t xml:space="preserve">Purposive </w:t>
      </w:r>
      <w:r w:rsidR="005727D8" w:rsidRPr="00211D19">
        <w:rPr>
          <w:i/>
        </w:rPr>
        <w:t>sampling</w:t>
      </w:r>
      <w:r w:rsidR="005727D8">
        <w:t xml:space="preserve"> didasarkan pada suatu pertimbangan tertentu yang dibuat oleh peneliti sendiri, berdasarkan ciri atau sifat-sifat populasi yang sudah diketahui sebelumnya”</w:t>
      </w:r>
      <w:r w:rsidR="00ED337D">
        <w:rPr>
          <w:rFonts w:eastAsiaTheme="minorEastAsia"/>
        </w:rPr>
        <w:tab/>
      </w:r>
      <w:r w:rsidR="005727D8" w:rsidRPr="003A1160">
        <w:t>Sampel</w:t>
      </w:r>
      <w:r w:rsidR="005727D8" w:rsidRPr="0040481D">
        <w:t xml:space="preserve"> yang digunakan pada penelitian ini adalah </w:t>
      </w:r>
      <w:r w:rsidR="005727D8">
        <w:t>perusahaan manufaktur sektor industri dasar dan kimia</w:t>
      </w:r>
      <w:r w:rsidR="005727D8" w:rsidRPr="0040481D">
        <w:t xml:space="preserve"> yang terdaftar di</w:t>
      </w:r>
      <w:r w:rsidR="005727D8">
        <w:t xml:space="preserve"> Bursa Efek Indonesia</w:t>
      </w:r>
      <w:r w:rsidR="005727D8" w:rsidRPr="0040481D">
        <w:t xml:space="preserve"> </w:t>
      </w:r>
      <w:r w:rsidR="005727D8">
        <w:t>(</w:t>
      </w:r>
      <w:r w:rsidR="005727D8" w:rsidRPr="0040481D">
        <w:t>BEI</w:t>
      </w:r>
      <w:r w:rsidR="005727D8">
        <w:t>)</w:t>
      </w:r>
      <w:r w:rsidR="005727D8" w:rsidRPr="0040481D">
        <w:t xml:space="preserve"> </w:t>
      </w:r>
      <w:r w:rsidR="005727D8">
        <w:t xml:space="preserve">per 30 September 2015 yang berjumlah 64 </w:t>
      </w:r>
      <w:r w:rsidR="005727D8" w:rsidRPr="0040481D">
        <w:t>perusahaan setelah memenuhi beberapa kriteria</w:t>
      </w:r>
      <w:r w:rsidR="005727D8">
        <w:t>.</w:t>
      </w:r>
    </w:p>
    <w:p w:rsidR="00ED337D" w:rsidRPr="00DA63EC" w:rsidRDefault="00ED337D" w:rsidP="005727D8">
      <w:pPr>
        <w:pStyle w:val="ListParagraph"/>
        <w:spacing w:line="360" w:lineRule="auto"/>
        <w:ind w:firstLine="720"/>
        <w:rPr>
          <w:rFonts w:eastAsia="Times New Roman"/>
          <w:szCs w:val="29"/>
        </w:rPr>
      </w:pPr>
      <w:r w:rsidRPr="00125D2D">
        <w:t>Pengumpulan</w:t>
      </w:r>
      <w:r w:rsidRPr="00DA63EC">
        <w:rPr>
          <w:rFonts w:eastAsia="Times New Roman"/>
          <w:szCs w:val="29"/>
        </w:rPr>
        <w:t xml:space="preserve"> data dilakukan dengan </w:t>
      </w:r>
      <w:r w:rsidR="00A45D6A">
        <w:rPr>
          <w:rFonts w:eastAsia="Times New Roman"/>
          <w:szCs w:val="29"/>
        </w:rPr>
        <w:t>ke</w:t>
      </w:r>
      <w:r w:rsidRPr="00DA63EC">
        <w:rPr>
          <w:rFonts w:eastAsia="Times New Roman"/>
          <w:szCs w:val="29"/>
        </w:rPr>
        <w:t>pustaka</w:t>
      </w:r>
      <w:r w:rsidR="00A45D6A">
        <w:rPr>
          <w:rFonts w:eastAsia="Times New Roman"/>
          <w:szCs w:val="29"/>
        </w:rPr>
        <w:t>an</w:t>
      </w:r>
      <w:r w:rsidR="005727D8">
        <w:rPr>
          <w:rFonts w:eastAsia="Times New Roman"/>
          <w:szCs w:val="29"/>
        </w:rPr>
        <w:t xml:space="preserve"> </w:t>
      </w:r>
      <w:r w:rsidRPr="00DA63EC">
        <w:rPr>
          <w:rFonts w:eastAsia="Times New Roman"/>
          <w:szCs w:val="29"/>
        </w:rPr>
        <w:t>melalui pengumpulan data sekunder yang telah  dikumpulkan, kemudian diolah untuk dianalisis secara kuantitatif. Hasil analisis kuantitatif ini kemudian diinterpretasikan secara deskriptif.</w:t>
      </w:r>
      <w:r w:rsidR="005727D8">
        <w:rPr>
          <w:rFonts w:eastAsia="Times New Roman"/>
          <w:szCs w:val="29"/>
        </w:rPr>
        <w:t xml:space="preserve"> </w:t>
      </w:r>
      <w:r w:rsidRPr="00DA63EC">
        <w:rPr>
          <w:rFonts w:eastAsia="Times New Roman"/>
          <w:szCs w:val="29"/>
        </w:rPr>
        <w:t xml:space="preserve">Adapun analisis tersebut menggunakan metode </w:t>
      </w:r>
      <w:r w:rsidR="005727D8">
        <w:rPr>
          <w:rFonts w:eastAsia="Times New Roman"/>
          <w:szCs w:val="29"/>
        </w:rPr>
        <w:t>ROE, DER dan MBR</w:t>
      </w:r>
      <w:r w:rsidR="00076545">
        <w:rPr>
          <w:rFonts w:eastAsia="Times New Roman"/>
          <w:szCs w:val="29"/>
        </w:rPr>
        <w:t>.</w:t>
      </w:r>
    </w:p>
    <w:p w:rsidR="00ED337D" w:rsidRDefault="005727D8" w:rsidP="005727D8">
      <w:pPr>
        <w:pStyle w:val="ListParagraph"/>
        <w:spacing w:line="360" w:lineRule="auto"/>
        <w:rPr>
          <w:rFonts w:eastAsiaTheme="minorEastAsia"/>
        </w:rPr>
      </w:pPr>
      <w:r>
        <w:rPr>
          <w:rFonts w:eastAsiaTheme="minorEastAsia"/>
        </w:rPr>
        <w:t>Menurut Suharli (2007:109), nilai ROE dapat dihitung dengan rumus :</w:t>
      </w:r>
    </w:p>
    <w:p w:rsidR="005727D8" w:rsidRPr="005727D8" w:rsidRDefault="005727D8" w:rsidP="005727D8">
      <w:pPr>
        <w:pStyle w:val="ListParagraph"/>
        <w:spacing w:line="240" w:lineRule="auto"/>
        <w:ind w:left="810"/>
        <w:rPr>
          <w:rFonts w:eastAsiaTheme="minorEastAsia"/>
          <w:i/>
        </w:rPr>
      </w:pPr>
      <m:oMathPara>
        <m:oMathParaPr>
          <m:jc m:val="left"/>
        </m:oMathParaPr>
        <m:oMath>
          <m:r>
            <w:rPr>
              <w:rFonts w:ascii="Cambria Math" w:eastAsiaTheme="minorEastAsia" w:hAnsi="Cambria Math"/>
            </w:rPr>
            <m:t>ROE=</m:t>
          </m:r>
          <m:f>
            <m:fPr>
              <m:ctrlPr>
                <w:rPr>
                  <w:rFonts w:ascii="Cambria Math" w:eastAsiaTheme="minorEastAsia" w:hAnsi="Cambria Math"/>
                  <w:b/>
                  <w:i/>
                </w:rPr>
              </m:ctrlPr>
            </m:fPr>
            <m:num>
              <m:r>
                <w:rPr>
                  <w:rFonts w:ascii="Cambria Math" w:eastAsiaTheme="minorEastAsia" w:hAnsi="Cambria Math"/>
                </w:rPr>
                <m:t>Laba Bersih Setelah Pajak</m:t>
              </m:r>
            </m:num>
            <m:den>
              <m:r>
                <w:rPr>
                  <w:rFonts w:ascii="Cambria Math" w:eastAsiaTheme="minorEastAsia" w:hAnsi="Cambria Math"/>
                </w:rPr>
                <m:t>Total Equitas</m:t>
              </m:r>
            </m:den>
          </m:f>
          <m:r>
            <w:rPr>
              <w:rFonts w:ascii="Cambria Math" w:eastAsiaTheme="minorEastAsia" w:hAnsi="Cambria Math"/>
            </w:rPr>
            <m:t>x100</m:t>
          </m:r>
          <m:r>
            <w:rPr>
              <w:rFonts w:ascii="Cambria Math" w:eastAsiaTheme="minorEastAsia" w:hAnsi="Cambria Math"/>
            </w:rPr>
            <m:t>%</m:t>
          </m:r>
        </m:oMath>
      </m:oMathPara>
    </w:p>
    <w:p w:rsidR="005727D8" w:rsidRDefault="005727D8" w:rsidP="005727D8">
      <w:pPr>
        <w:pStyle w:val="ListParagraph"/>
        <w:spacing w:line="360" w:lineRule="auto"/>
        <w:rPr>
          <w:rFonts w:eastAsiaTheme="minorEastAsia"/>
        </w:rPr>
      </w:pPr>
      <w:r>
        <w:rPr>
          <w:rFonts w:eastAsiaTheme="minorEastAsia"/>
        </w:rPr>
        <w:t>Menurut Suharli (2007:126), nilai DER dapat dihitung dengan rumus :</w:t>
      </w:r>
    </w:p>
    <w:p w:rsidR="005727D8" w:rsidRDefault="005727D8" w:rsidP="005727D8">
      <w:pPr>
        <w:pStyle w:val="ListParagraph"/>
        <w:spacing w:line="240" w:lineRule="auto"/>
        <w:rPr>
          <w:rFonts w:eastAsiaTheme="minorEastAsia"/>
          <w:b/>
        </w:rPr>
      </w:pPr>
      <m:oMathPara>
        <m:oMathParaPr>
          <m:jc m:val="left"/>
        </m:oMathParaPr>
        <m:oMath>
          <m:r>
            <w:rPr>
              <w:rFonts w:ascii="Cambria Math" w:eastAsiaTheme="minorEastAsia" w:hAnsi="Cambria Math"/>
            </w:rPr>
            <m:t>DER=</m:t>
          </m:r>
          <m:f>
            <m:fPr>
              <m:ctrlPr>
                <w:rPr>
                  <w:rFonts w:ascii="Cambria Math" w:eastAsiaTheme="minorEastAsia" w:hAnsi="Cambria Math"/>
                  <w:b/>
                  <w:i/>
                </w:rPr>
              </m:ctrlPr>
            </m:fPr>
            <m:num>
              <m:r>
                <w:rPr>
                  <w:rFonts w:ascii="Cambria Math" w:eastAsiaTheme="minorEastAsia" w:hAnsi="Cambria Math"/>
                </w:rPr>
                <m:t>Total Liabilitas</m:t>
              </m:r>
            </m:num>
            <m:den>
              <m:r>
                <w:rPr>
                  <w:rFonts w:ascii="Cambria Math" w:eastAsiaTheme="minorEastAsia" w:hAnsi="Cambria Math"/>
                </w:rPr>
                <m:t>Total Equitas</m:t>
              </m:r>
            </m:den>
          </m:f>
        </m:oMath>
      </m:oMathPara>
    </w:p>
    <w:p w:rsidR="005727D8" w:rsidRDefault="005727D8" w:rsidP="005727D8">
      <w:pPr>
        <w:pStyle w:val="ListParagraph"/>
        <w:spacing w:after="360" w:line="360" w:lineRule="auto"/>
        <w:rPr>
          <w:rFonts w:eastAsiaTheme="minorEastAsia"/>
        </w:rPr>
      </w:pPr>
      <w:r>
        <w:rPr>
          <w:rFonts w:eastAsiaTheme="minorEastAsia"/>
        </w:rPr>
        <w:lastRenderedPageBreak/>
        <w:t>Menurut Wahyudi dan Pawestri (2006:92) nilai MBR dapat dihitung dengan rumus :</w:t>
      </w:r>
    </w:p>
    <w:p w:rsidR="00076545" w:rsidRDefault="005727D8" w:rsidP="00076545">
      <w:pPr>
        <w:spacing w:after="360" w:line="360" w:lineRule="auto"/>
        <w:ind w:left="720"/>
        <w:rPr>
          <w:rFonts w:eastAsiaTheme="minorEastAsia"/>
          <w:sz w:val="22"/>
        </w:rPr>
      </w:pPr>
      <m:oMathPara>
        <m:oMath>
          <m:r>
            <w:rPr>
              <w:rFonts w:ascii="Cambria Math" w:eastAsiaTheme="minorEastAsia" w:hAnsi="Cambria Math"/>
              <w:sz w:val="22"/>
            </w:rPr>
            <m:t>R</m:t>
          </m:r>
          <m:r>
            <w:rPr>
              <w:rFonts w:ascii="Cambria Math" w:eastAsiaTheme="minorEastAsia" w:hAnsi="Cambria Math"/>
              <w:sz w:val="22"/>
            </w:rPr>
            <m:t>asio MBR=</m:t>
          </m:r>
          <m:f>
            <m:fPr>
              <m:ctrlPr>
                <w:rPr>
                  <w:rFonts w:ascii="Cambria Math" w:eastAsiaTheme="minorEastAsia" w:hAnsi="Cambria Math"/>
                  <w:b/>
                  <w:i/>
                  <w:sz w:val="22"/>
                </w:rPr>
              </m:ctrlPr>
            </m:fPr>
            <m:num>
              <m:r>
                <w:rPr>
                  <w:rFonts w:ascii="Cambria Math" w:eastAsiaTheme="minorEastAsia" w:hAnsi="Cambria Math"/>
                  <w:sz w:val="22"/>
                </w:rPr>
                <m:t>Jumlah Lembar saham Beredar x Harga Penutupan Saham</m:t>
              </m:r>
            </m:num>
            <m:den>
              <m:r>
                <w:rPr>
                  <w:rFonts w:ascii="Cambria Math" w:eastAsiaTheme="minorEastAsia" w:hAnsi="Cambria Math"/>
                  <w:sz w:val="22"/>
                </w:rPr>
                <m:t>Total Equitas</m:t>
              </m:r>
            </m:den>
          </m:f>
        </m:oMath>
      </m:oMathPara>
    </w:p>
    <w:p w:rsidR="00ED337D" w:rsidRPr="00076545" w:rsidRDefault="00ED337D" w:rsidP="00076545">
      <w:pPr>
        <w:spacing w:after="360" w:line="360" w:lineRule="auto"/>
        <w:ind w:left="720" w:firstLine="720"/>
        <w:rPr>
          <w:rFonts w:eastAsiaTheme="minorEastAsia"/>
          <w:sz w:val="22"/>
        </w:rPr>
      </w:pPr>
      <w:r w:rsidRPr="00076545">
        <w:rPr>
          <w:rFonts w:eastAsiaTheme="minorEastAsia"/>
        </w:rPr>
        <w:t xml:space="preserve">Menurut </w:t>
      </w:r>
      <w:r w:rsidR="00076545">
        <w:t xml:space="preserve">Brigham dan Houston </w:t>
      </w:r>
      <w:r>
        <w:t>(2006</w:t>
      </w:r>
      <w:r w:rsidR="00076545">
        <w:t>:41</w:t>
      </w:r>
      <w:r>
        <w:t xml:space="preserve">) untuk menghitung </w:t>
      </w:r>
      <w:r w:rsidRPr="00076545">
        <w:rPr>
          <w:i/>
        </w:rPr>
        <w:t xml:space="preserve">return </w:t>
      </w:r>
      <w:r>
        <w:t>saham pertahun dapat dihitung dengan menggunakan rumus:</w:t>
      </w:r>
    </w:p>
    <w:p w:rsidR="00ED337D" w:rsidRDefault="00ED337D" w:rsidP="00076545">
      <w:pPr>
        <w:pStyle w:val="ListParagraph"/>
        <w:spacing w:line="360" w:lineRule="auto"/>
        <w:rPr>
          <w:rFonts w:eastAsiaTheme="minorEastAsia"/>
        </w:rPr>
      </w:pPr>
      <m:oMathPara>
        <m:oMathParaPr>
          <m:jc m:val="left"/>
        </m:oMathParaPr>
        <m:oMath>
          <m:r>
            <w:rPr>
              <w:rFonts w:ascii="Cambria Math" w:hAnsi="Cambria Math"/>
            </w:rPr>
            <m:t>Rt=</m:t>
          </m:r>
          <m:f>
            <m:fPr>
              <m:ctrlPr>
                <w:rPr>
                  <w:rFonts w:ascii="Cambria Math" w:hAnsi="Cambria Math"/>
                </w:rPr>
              </m:ctrlPr>
            </m:fPr>
            <m:num>
              <m:sSub>
                <m:sSubPr>
                  <m:ctrlPr>
                    <w:rPr>
                      <w:rFonts w:ascii="Cambria Math" w:hAnsi="Cambria Math"/>
                      <w:i/>
                    </w:rPr>
                  </m:ctrlPr>
                </m:sSubPr>
                <m:e>
                  <m:r>
                    <m:rPr>
                      <m:sty m:val="p"/>
                    </m:rP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 xml:space="preserve"> p</m:t>
                  </m:r>
                </m:e>
                <m:sub>
                  <m:r>
                    <w:rPr>
                      <w:rFonts w:ascii="Cambria Math" w:hAnsi="Cambria Math"/>
                    </w:rPr>
                    <m:t>o</m:t>
                  </m:r>
                </m:sub>
              </m:sSub>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o</m:t>
                  </m:r>
                </m:sub>
              </m:sSub>
            </m:den>
          </m:f>
          <m:r>
            <m:rPr>
              <m:sty m:val="p"/>
            </m:rPr>
            <w:rPr>
              <w:rFonts w:ascii="Cambria Math" w:hAnsi="Cambria Math"/>
            </w:rPr>
            <m:t>x100%</m:t>
          </m:r>
        </m:oMath>
      </m:oMathPara>
    </w:p>
    <w:p w:rsidR="00ED337D" w:rsidRDefault="00ED337D" w:rsidP="00076545">
      <w:pPr>
        <w:pStyle w:val="ListParagraph"/>
        <w:spacing w:line="360" w:lineRule="auto"/>
        <w:rPr>
          <w:rFonts w:eastAsiaTheme="minorEastAsia"/>
        </w:rPr>
      </w:pPr>
      <w:r>
        <w:rPr>
          <w:rFonts w:eastAsiaTheme="minorEastAsia"/>
        </w:rPr>
        <w:t>Keterangan:</w:t>
      </w:r>
    </w:p>
    <w:p w:rsidR="00ED337D" w:rsidRDefault="00076545" w:rsidP="00076545">
      <w:pPr>
        <w:pStyle w:val="ListParagraph"/>
        <w:spacing w:line="360" w:lineRule="auto"/>
      </w:pPr>
      <w:r>
        <w:t>Rt</w:t>
      </w:r>
      <w:r>
        <w:tab/>
      </w:r>
      <w:r w:rsidR="00ED337D">
        <w:t>= Tingkat Keuntungan Investasi</w:t>
      </w:r>
    </w:p>
    <w:p w:rsidR="00ED337D" w:rsidRDefault="00ED337D" w:rsidP="00076545">
      <w:pPr>
        <w:pStyle w:val="ListParagraph"/>
        <w:spacing w:line="360" w:lineRule="auto"/>
      </w:pPr>
      <w:r>
        <w:t>P</w:t>
      </w:r>
      <w:r>
        <w:rPr>
          <w:vertAlign w:val="subscript"/>
        </w:rPr>
        <w:t>1</w:t>
      </w:r>
      <w:r w:rsidR="00076545">
        <w:tab/>
      </w:r>
      <w:r>
        <w:t>= Harga untuk waktu t</w:t>
      </w:r>
    </w:p>
    <w:p w:rsidR="00076545" w:rsidRDefault="00ED337D" w:rsidP="00076545">
      <w:pPr>
        <w:pStyle w:val="ListParagraph"/>
        <w:spacing w:line="360" w:lineRule="auto"/>
      </w:pPr>
      <w:r>
        <w:t>P</w:t>
      </w:r>
      <w:r>
        <w:rPr>
          <w:vertAlign w:val="subscript"/>
        </w:rPr>
        <w:t>o</w:t>
      </w:r>
      <w:r w:rsidR="00076545">
        <w:tab/>
      </w:r>
      <w:r>
        <w:t>= Harga untuk waktu sebelumnya</w:t>
      </w:r>
    </w:p>
    <w:p w:rsidR="0090101B" w:rsidRDefault="00ED337D" w:rsidP="00076545">
      <w:pPr>
        <w:pStyle w:val="ListParagraph"/>
        <w:spacing w:line="360" w:lineRule="auto"/>
        <w:ind w:firstLine="720"/>
      </w:pPr>
      <w:r>
        <w:t>Analisis data dilakukan dengan uji</w:t>
      </w:r>
      <w:r w:rsidR="00076545">
        <w:t xml:space="preserve"> normalitas,</w:t>
      </w:r>
      <w:r>
        <w:t xml:space="preserve"> </w:t>
      </w:r>
      <w:r w:rsidR="00076545">
        <w:t xml:space="preserve">analisis </w:t>
      </w:r>
      <w:r>
        <w:t>regresi berganda dan uji hipotesis (</w:t>
      </w:r>
      <w:r w:rsidR="00076545">
        <w:t xml:space="preserve">koefisien </w:t>
      </w:r>
      <w:r>
        <w:t>korelasi</w:t>
      </w:r>
      <w:r w:rsidR="00076545">
        <w:t xml:space="preserve"> berganda, koefisien determinasi, uji F, uji t</w:t>
      </w:r>
      <w:r>
        <w:t>)</w:t>
      </w:r>
      <w:r w:rsidR="00076545">
        <w:t>.</w:t>
      </w:r>
    </w:p>
    <w:p w:rsidR="00076545" w:rsidRDefault="00076545" w:rsidP="00076545">
      <w:pPr>
        <w:pStyle w:val="ListParagraph"/>
        <w:spacing w:line="360" w:lineRule="auto"/>
        <w:ind w:firstLine="720"/>
      </w:pPr>
      <w:r>
        <w:t xml:space="preserve">Untuk mempermudah investor dalam pertimbangan pengambilan keputusan investasi pada Sektor Industri Dasar dan Kimia ini dilengkapi juga dengan perhitungan </w:t>
      </w:r>
      <w:r>
        <w:rPr>
          <w:i/>
        </w:rPr>
        <w:t>Expected Return</w:t>
      </w:r>
      <w:r>
        <w:t xml:space="preserve"> beserta Risikonya per 30 September 2016.</w:t>
      </w:r>
    </w:p>
    <w:p w:rsidR="00076545" w:rsidRDefault="00076545" w:rsidP="00076545">
      <w:pPr>
        <w:pStyle w:val="ListParagraph"/>
        <w:spacing w:line="360" w:lineRule="auto"/>
        <w:ind w:firstLine="720"/>
        <w:rPr>
          <w:rFonts w:eastAsiaTheme="minorEastAsia"/>
        </w:rPr>
      </w:pPr>
      <w:r>
        <w:rPr>
          <w:rFonts w:eastAsiaTheme="minorEastAsia"/>
        </w:rPr>
        <w:t>Menurut Eduardus Tandelilin (</w:t>
      </w:r>
      <w:r w:rsidRPr="00076545">
        <w:rPr>
          <w:rFonts w:eastAsiaTheme="minorEastAsia"/>
        </w:rPr>
        <w:t>2010:106)</w:t>
      </w:r>
      <w:r>
        <w:rPr>
          <w:rFonts w:eastAsiaTheme="minorEastAsia"/>
        </w:rPr>
        <w:t xml:space="preserve">, nilai </w:t>
      </w:r>
      <w:r>
        <w:rPr>
          <w:rFonts w:eastAsiaTheme="minorEastAsia"/>
          <w:i/>
        </w:rPr>
        <w:t>Expected Return</w:t>
      </w:r>
      <w:r>
        <w:rPr>
          <w:rFonts w:eastAsiaTheme="minorEastAsia"/>
        </w:rPr>
        <w:t xml:space="preserve"> dapat dihitung dengan rumus :</w:t>
      </w:r>
    </w:p>
    <w:p w:rsidR="00076545" w:rsidRDefault="00076545" w:rsidP="00076545">
      <w:pPr>
        <w:pStyle w:val="ListParagraph"/>
        <w:spacing w:line="360" w:lineRule="auto"/>
        <w:rPr>
          <w:rFonts w:eastAsiaTheme="minorEastAsia"/>
        </w:rPr>
      </w:pPr>
      <m:oMath>
        <m:r>
          <w:rPr>
            <w:rFonts w:ascii="Cambria Math" w:hAnsi="Cambria Math"/>
          </w:rPr>
          <m:t>E</m:t>
        </m:r>
        <m:d>
          <m:dPr>
            <m:ctrlPr>
              <w:rPr>
                <w:rFonts w:ascii="Cambria Math" w:hAnsi="Cambria Math"/>
                <w:i/>
              </w:rPr>
            </m:ctrlPr>
          </m:dPr>
          <m:e>
            <m:r>
              <w:rPr>
                <w:rFonts w:ascii="Cambria Math" w:hAnsi="Cambria Math"/>
              </w:rPr>
              <m:t>Ri</m:t>
            </m:r>
          </m:e>
        </m:d>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Rij</m:t>
                </m:r>
              </m:e>
            </m:nary>
          </m:num>
          <m:den>
            <m:r>
              <w:rPr>
                <w:rFonts w:ascii="Cambria Math" w:hAnsi="Cambria Math"/>
              </w:rPr>
              <m:t>N</m:t>
            </m:r>
          </m:den>
        </m:f>
      </m:oMath>
      <w:r>
        <w:rPr>
          <w:rFonts w:eastAsiaTheme="minorEastAsia"/>
        </w:rPr>
        <w:t xml:space="preserve"> x 100%</w:t>
      </w:r>
    </w:p>
    <w:p w:rsidR="00076545" w:rsidRDefault="00076545" w:rsidP="00076545">
      <w:pPr>
        <w:spacing w:line="360" w:lineRule="auto"/>
        <w:ind w:left="720"/>
        <w:rPr>
          <w:rFonts w:eastAsiaTheme="minorEastAsia"/>
        </w:rPr>
      </w:pPr>
      <w:r w:rsidRPr="00E76FD4">
        <w:rPr>
          <w:rFonts w:eastAsiaTheme="minorEastAsia"/>
        </w:rPr>
        <w:t>Keterangan :</w:t>
      </w:r>
    </w:p>
    <w:p w:rsidR="00076545" w:rsidRDefault="00076545" w:rsidP="00076545">
      <w:pPr>
        <w:spacing w:line="360" w:lineRule="auto"/>
        <w:ind w:left="720"/>
        <w:rPr>
          <w:rFonts w:eastAsiaTheme="minorEastAsia"/>
        </w:rPr>
      </w:pPr>
      <w:r w:rsidRPr="00E76FD4">
        <w:rPr>
          <w:rFonts w:eastAsiaTheme="minorEastAsia"/>
        </w:rPr>
        <w:t>E (Ri)</w:t>
      </w:r>
      <w:r w:rsidRPr="00E76FD4">
        <w:rPr>
          <w:rFonts w:eastAsiaTheme="minorEastAsia"/>
        </w:rPr>
        <w:tab/>
        <w:t xml:space="preserve">= </w:t>
      </w:r>
      <w:r w:rsidRPr="00E76FD4">
        <w:rPr>
          <w:rFonts w:eastAsiaTheme="minorEastAsia"/>
          <w:i/>
        </w:rPr>
        <w:t xml:space="preserve">Return </w:t>
      </w:r>
      <w:r w:rsidRPr="00E76FD4">
        <w:rPr>
          <w:rFonts w:eastAsiaTheme="minorEastAsia"/>
        </w:rPr>
        <w:t>Harapan ke-i dari Suatu Sekuritas</w:t>
      </w:r>
    </w:p>
    <w:p w:rsidR="00076545" w:rsidRDefault="00076545" w:rsidP="00076545">
      <w:pPr>
        <w:spacing w:line="360" w:lineRule="auto"/>
        <w:ind w:left="720"/>
        <w:rPr>
          <w:rFonts w:eastAsiaTheme="minorEastAsia"/>
        </w:rPr>
      </w:pPr>
      <w:r w:rsidRPr="00E76FD4">
        <w:rPr>
          <w:rFonts w:eastAsiaTheme="minorEastAsia"/>
        </w:rPr>
        <w:t>Rij</w:t>
      </w:r>
      <w:r w:rsidRPr="00E76FD4">
        <w:rPr>
          <w:rFonts w:eastAsiaTheme="minorEastAsia"/>
        </w:rPr>
        <w:tab/>
        <w:t xml:space="preserve">= </w:t>
      </w:r>
      <w:r w:rsidRPr="00E76FD4">
        <w:rPr>
          <w:rFonts w:eastAsiaTheme="minorEastAsia"/>
          <w:i/>
        </w:rPr>
        <w:t>Return</w:t>
      </w:r>
      <w:r w:rsidRPr="00E76FD4">
        <w:rPr>
          <w:rFonts w:eastAsiaTheme="minorEastAsia"/>
        </w:rPr>
        <w:t xml:space="preserve"> ke-ij yang Mungkin Terjadi</w:t>
      </w:r>
    </w:p>
    <w:p w:rsidR="00076545" w:rsidRPr="00E76FD4" w:rsidRDefault="00076545" w:rsidP="00076545">
      <w:pPr>
        <w:spacing w:line="360" w:lineRule="auto"/>
        <w:ind w:left="720"/>
        <w:rPr>
          <w:rFonts w:eastAsiaTheme="minorEastAsia"/>
        </w:rPr>
      </w:pPr>
      <w:r>
        <w:rPr>
          <w:rFonts w:eastAsiaTheme="minorEastAsia"/>
        </w:rPr>
        <w:t>N</w:t>
      </w:r>
      <w:r>
        <w:rPr>
          <w:rFonts w:eastAsiaTheme="minorEastAsia"/>
        </w:rPr>
        <w:tab/>
      </w:r>
      <w:r w:rsidRPr="00E76FD4">
        <w:rPr>
          <w:rFonts w:eastAsiaTheme="minorEastAsia"/>
        </w:rPr>
        <w:t xml:space="preserve">= Banyaknya </w:t>
      </w:r>
      <w:r w:rsidRPr="00E76FD4">
        <w:rPr>
          <w:rFonts w:eastAsiaTheme="minorEastAsia"/>
          <w:i/>
        </w:rPr>
        <w:t>Return</w:t>
      </w:r>
      <w:r w:rsidRPr="00E76FD4">
        <w:rPr>
          <w:rFonts w:eastAsiaTheme="minorEastAsia"/>
        </w:rPr>
        <w:t xml:space="preserve"> yang Mungkin Terjadi</w:t>
      </w:r>
    </w:p>
    <w:p w:rsidR="00076545" w:rsidRDefault="00076545" w:rsidP="00707F9A">
      <w:pPr>
        <w:pStyle w:val="ListParagraph"/>
        <w:spacing w:line="360" w:lineRule="auto"/>
        <w:ind w:firstLine="720"/>
        <w:rPr>
          <w:rFonts w:eastAsiaTheme="minorEastAsia"/>
        </w:rPr>
      </w:pPr>
      <w:r>
        <w:rPr>
          <w:rFonts w:eastAsiaTheme="minorEastAsia"/>
        </w:rPr>
        <w:t>Menurut Eduardus Tandelilin (</w:t>
      </w:r>
      <w:r w:rsidR="00707F9A">
        <w:rPr>
          <w:rFonts w:eastAsiaTheme="minorEastAsia"/>
        </w:rPr>
        <w:t>2010:110</w:t>
      </w:r>
      <w:r w:rsidRPr="00076545">
        <w:rPr>
          <w:rFonts w:eastAsiaTheme="minorEastAsia"/>
        </w:rPr>
        <w:t>)</w:t>
      </w:r>
      <w:r>
        <w:rPr>
          <w:rFonts w:eastAsiaTheme="minorEastAsia"/>
        </w:rPr>
        <w:t xml:space="preserve">, nilai </w:t>
      </w:r>
      <w:r>
        <w:rPr>
          <w:rFonts w:eastAsiaTheme="minorEastAsia"/>
          <w:i/>
        </w:rPr>
        <w:t>Expected Return</w:t>
      </w:r>
      <w:r>
        <w:rPr>
          <w:rFonts w:eastAsiaTheme="minorEastAsia"/>
        </w:rPr>
        <w:t xml:space="preserve"> dapat dihitung dengan rumus :</w:t>
      </w:r>
    </w:p>
    <w:p w:rsidR="00707F9A" w:rsidRDefault="00707F9A" w:rsidP="00707F9A">
      <w:pPr>
        <w:pStyle w:val="ListParagraph"/>
        <w:spacing w:line="360" w:lineRule="auto"/>
        <w:rPr>
          <w:rFonts w:eastAsiaTheme="minorEastAsia"/>
        </w:rPr>
      </w:pPr>
      <m:oMathPara>
        <m:oMathParaPr>
          <m:jc m:val="left"/>
        </m:oMathParaPr>
        <m:oMath>
          <m:sSubSup>
            <m:sSubSupPr>
              <m:ctrlPr>
                <w:rPr>
                  <w:rFonts w:ascii="Cambria Math" w:hAnsi="Cambria Math"/>
                  <w:i/>
                </w:rPr>
              </m:ctrlPr>
            </m:sSubSupPr>
            <m:e>
              <m:r>
                <w:rPr>
                  <w:rFonts w:ascii="Cambria Math" w:hAnsi="Cambria Math"/>
                </w:rPr>
                <m:t>σ</m:t>
              </m:r>
            </m:e>
            <m:sub>
              <m:r>
                <w:rPr>
                  <w:rFonts w:ascii="Cambria Math" w:hAnsi="Cambria Math"/>
                </w:rPr>
                <m:t>i</m:t>
              </m:r>
            </m:sub>
            <m:sup>
              <m:r>
                <w:rPr>
                  <w:rFonts w:ascii="Cambria Math" w:hAnsi="Cambria Math"/>
                </w:rPr>
                <m:t>2</m:t>
              </m:r>
            </m:sup>
          </m:sSubSup>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Rij-E</m:t>
                      </m:r>
                      <m:d>
                        <m:dPr>
                          <m:ctrlPr>
                            <w:rPr>
                              <w:rFonts w:ascii="Cambria Math" w:hAnsi="Cambria Math"/>
                              <w:i/>
                            </w:rPr>
                          </m:ctrlPr>
                        </m:dPr>
                        <m:e>
                          <m:r>
                            <w:rPr>
                              <w:rFonts w:ascii="Cambria Math" w:hAnsi="Cambria Math"/>
                            </w:rPr>
                            <m:t>Ri</m:t>
                          </m:r>
                        </m:e>
                      </m:d>
                    </m:e>
                  </m:d>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N</m:t>
                  </m:r>
                </m:den>
              </m:f>
              <m:r>
                <w:rPr>
                  <w:rFonts w:ascii="Cambria Math" w:hAnsi="Cambria Math"/>
                </w:rPr>
                <m:t>x100%</m:t>
              </m:r>
            </m:e>
          </m:nary>
        </m:oMath>
      </m:oMathPara>
    </w:p>
    <w:p w:rsidR="00707F9A" w:rsidRDefault="00707F9A" w:rsidP="00707F9A">
      <w:pPr>
        <w:pStyle w:val="ListParagraph"/>
        <w:spacing w:line="360" w:lineRule="auto"/>
        <w:rPr>
          <w:rFonts w:eastAsiaTheme="minorEastAsia"/>
        </w:rPr>
      </w:pPr>
      <w:r>
        <w:rPr>
          <w:rFonts w:eastAsiaTheme="minorEastAsia"/>
        </w:rPr>
        <w:t>Keterangan :</w:t>
      </w:r>
    </w:p>
    <w:p w:rsidR="00707F9A" w:rsidRDefault="00707F9A" w:rsidP="00707F9A">
      <w:pPr>
        <w:pStyle w:val="ListParagraph"/>
        <w:spacing w:line="360" w:lineRule="auto"/>
        <w:rPr>
          <w:rFonts w:eastAsiaTheme="minorEastAsia"/>
        </w:rPr>
      </w:pPr>
      <w:r w:rsidRPr="00707F9A">
        <w:rPr>
          <w:rFonts w:eastAsiaTheme="minorEastAsia"/>
        </w:rPr>
        <w:t>σ</w:t>
      </w:r>
      <w:r w:rsidRPr="00707F9A">
        <w:rPr>
          <w:rFonts w:eastAsiaTheme="minorEastAsia"/>
          <w:vertAlign w:val="subscript"/>
        </w:rPr>
        <w:t>i</w:t>
      </w:r>
      <w:r w:rsidRPr="00707F9A">
        <w:rPr>
          <w:rFonts w:eastAsiaTheme="minorEastAsia"/>
          <w:vertAlign w:val="superscript"/>
        </w:rPr>
        <w:t>2</w:t>
      </w:r>
      <w:r w:rsidRPr="00707F9A">
        <w:rPr>
          <w:rFonts w:eastAsiaTheme="minorEastAsia"/>
          <w:vertAlign w:val="superscript"/>
        </w:rPr>
        <w:tab/>
      </w:r>
      <w:r w:rsidRPr="00707F9A">
        <w:rPr>
          <w:rFonts w:eastAsiaTheme="minorEastAsia"/>
          <w:vertAlign w:val="superscript"/>
        </w:rPr>
        <w:tab/>
      </w:r>
      <w:r w:rsidRPr="00707F9A">
        <w:rPr>
          <w:rFonts w:eastAsiaTheme="minorEastAsia"/>
        </w:rPr>
        <w:t xml:space="preserve">= Varians </w:t>
      </w:r>
      <w:r w:rsidRPr="00707F9A">
        <w:rPr>
          <w:rFonts w:eastAsiaTheme="minorEastAsia"/>
          <w:i/>
        </w:rPr>
        <w:t>Return</w:t>
      </w:r>
      <w:r w:rsidRPr="00707F9A">
        <w:rPr>
          <w:rFonts w:eastAsiaTheme="minorEastAsia"/>
        </w:rPr>
        <w:t xml:space="preserve"> ke-i</w:t>
      </w:r>
    </w:p>
    <w:p w:rsidR="00707F9A" w:rsidRDefault="00707F9A" w:rsidP="00707F9A">
      <w:pPr>
        <w:pStyle w:val="ListParagraph"/>
        <w:spacing w:line="360" w:lineRule="auto"/>
        <w:rPr>
          <w:rFonts w:eastAsiaTheme="minorEastAsia"/>
        </w:rPr>
      </w:pPr>
      <w:r w:rsidRPr="00707F9A">
        <w:rPr>
          <w:rFonts w:eastAsiaTheme="minorEastAsia"/>
        </w:rPr>
        <w:t>Rij</w:t>
      </w:r>
      <w:r w:rsidRPr="00707F9A">
        <w:rPr>
          <w:rFonts w:eastAsiaTheme="minorEastAsia"/>
        </w:rPr>
        <w:tab/>
      </w:r>
      <w:r w:rsidRPr="00707F9A">
        <w:rPr>
          <w:rFonts w:eastAsiaTheme="minorEastAsia"/>
        </w:rPr>
        <w:tab/>
        <w:t xml:space="preserve">= </w:t>
      </w:r>
      <w:r w:rsidRPr="00707F9A">
        <w:rPr>
          <w:rFonts w:eastAsiaTheme="minorEastAsia"/>
          <w:i/>
        </w:rPr>
        <w:t>Return</w:t>
      </w:r>
      <w:r w:rsidRPr="00707F9A">
        <w:rPr>
          <w:rFonts w:eastAsiaTheme="minorEastAsia"/>
        </w:rPr>
        <w:t xml:space="preserve"> ke-ij yang Mungkin Terjadi</w:t>
      </w:r>
    </w:p>
    <w:p w:rsidR="00707F9A" w:rsidRDefault="00707F9A" w:rsidP="00707F9A">
      <w:pPr>
        <w:pStyle w:val="ListParagraph"/>
        <w:spacing w:line="360" w:lineRule="auto"/>
        <w:rPr>
          <w:rFonts w:eastAsiaTheme="minorEastAsia"/>
        </w:rPr>
      </w:pPr>
      <w:r w:rsidRPr="00707F9A">
        <w:rPr>
          <w:rFonts w:eastAsiaTheme="minorEastAsia"/>
        </w:rPr>
        <w:t>E (Ri)</w:t>
      </w:r>
      <w:r>
        <w:rPr>
          <w:rFonts w:eastAsiaTheme="minorEastAsia"/>
        </w:rPr>
        <w:tab/>
      </w:r>
      <w:r w:rsidRPr="00707F9A">
        <w:rPr>
          <w:rFonts w:eastAsiaTheme="minorEastAsia"/>
        </w:rPr>
        <w:tab/>
        <w:t xml:space="preserve">= </w:t>
      </w:r>
      <w:r w:rsidRPr="00707F9A">
        <w:rPr>
          <w:rFonts w:eastAsiaTheme="minorEastAsia"/>
          <w:i/>
        </w:rPr>
        <w:t xml:space="preserve">Return </w:t>
      </w:r>
      <w:r w:rsidRPr="00707F9A">
        <w:rPr>
          <w:rFonts w:eastAsiaTheme="minorEastAsia"/>
        </w:rPr>
        <w:t>Harapan ke-i dari Suatu Sekuritas</w:t>
      </w:r>
    </w:p>
    <w:p w:rsidR="00076545" w:rsidRPr="00707F9A" w:rsidRDefault="00707F9A" w:rsidP="00707F9A">
      <w:pPr>
        <w:pStyle w:val="ListParagraph"/>
        <w:spacing w:line="360" w:lineRule="auto"/>
        <w:rPr>
          <w:rFonts w:eastAsiaTheme="minorEastAsia"/>
        </w:rPr>
      </w:pPr>
      <w:r w:rsidRPr="00707F9A">
        <w:rPr>
          <w:rFonts w:eastAsiaTheme="minorEastAsia"/>
        </w:rPr>
        <w:t>N</w:t>
      </w:r>
      <w:r w:rsidRPr="00707F9A">
        <w:rPr>
          <w:rFonts w:eastAsiaTheme="minorEastAsia"/>
        </w:rPr>
        <w:tab/>
      </w:r>
      <w:r w:rsidRPr="00707F9A">
        <w:rPr>
          <w:rFonts w:eastAsiaTheme="minorEastAsia"/>
        </w:rPr>
        <w:tab/>
        <w:t xml:space="preserve">= Banyaknya </w:t>
      </w:r>
      <w:r w:rsidRPr="00707F9A">
        <w:rPr>
          <w:rFonts w:eastAsiaTheme="minorEastAsia"/>
          <w:i/>
        </w:rPr>
        <w:t>Return</w:t>
      </w:r>
      <w:r w:rsidRPr="00707F9A">
        <w:rPr>
          <w:rFonts w:eastAsiaTheme="minorEastAsia"/>
        </w:rPr>
        <w:t xml:space="preserve"> yang Mungkin Terjadi</w:t>
      </w:r>
    </w:p>
    <w:p w:rsidR="00142B6A" w:rsidRPr="006544BC" w:rsidRDefault="006544BC" w:rsidP="0090101B">
      <w:pPr>
        <w:pStyle w:val="ListParagraph"/>
        <w:numPr>
          <w:ilvl w:val="0"/>
          <w:numId w:val="1"/>
        </w:numPr>
        <w:spacing w:line="360" w:lineRule="auto"/>
        <w:rPr>
          <w:b/>
        </w:rPr>
      </w:pPr>
      <w:r w:rsidRPr="006544BC">
        <w:rPr>
          <w:b/>
          <w:sz w:val="28"/>
        </w:rPr>
        <w:t>Hasil dan Kesimpulan</w:t>
      </w:r>
    </w:p>
    <w:p w:rsidR="006544BC" w:rsidRPr="006544BC" w:rsidRDefault="006544BC" w:rsidP="0090101B">
      <w:pPr>
        <w:pStyle w:val="ListParagraph"/>
        <w:numPr>
          <w:ilvl w:val="0"/>
          <w:numId w:val="10"/>
        </w:numPr>
        <w:spacing w:line="360" w:lineRule="auto"/>
        <w:rPr>
          <w:b/>
        </w:rPr>
      </w:pPr>
      <w:r>
        <w:rPr>
          <w:b/>
        </w:rPr>
        <w:t xml:space="preserve">Hasil Penelitian </w:t>
      </w:r>
    </w:p>
    <w:p w:rsidR="00707F9A" w:rsidRDefault="00707F9A" w:rsidP="00707F9A">
      <w:pPr>
        <w:pStyle w:val="ListParagraph"/>
        <w:spacing w:line="360" w:lineRule="auto"/>
        <w:ind w:firstLine="720"/>
        <w:rPr>
          <w:rFonts w:eastAsiaTheme="minorEastAsia"/>
        </w:rPr>
      </w:pPr>
      <w:r>
        <w:t>Hasil dari perhitungan</w:t>
      </w:r>
      <w:r w:rsidR="00EE6BB7">
        <w:t xml:space="preserve"> </w:t>
      </w:r>
      <w:r>
        <w:t xml:space="preserve">ROE </w:t>
      </w:r>
      <w:r w:rsidR="00EE6BB7">
        <w:t xml:space="preserve">menunjukan bahwa </w:t>
      </w:r>
      <w:r>
        <w:rPr>
          <w:rFonts w:eastAsiaTheme="minorEastAsia"/>
        </w:rPr>
        <w:t>terdapat 40 perusahaan yang menunjukkan ROE positif, artinya perusahaan tersebut mampu mengelola setiap nilai ekuitas yang mereka miliki untuk menghasilkan laba bersih setelah pajak. Selebihnya, sebanyak 24 perusahaan yang menunjukkan ROE negatif, artinya perusahaan tersebut tidak mampu mengelola setiap nilai ekuitas yang mereka miliki untuk menghasilkan laba bersih setelah pajak. Hal ini dikarenakan total laba bersih setelah pajak yang dimiliki perusahaan tersebut lebih kecil jika dibandingkan dengan total ekuitasnya.</w:t>
      </w:r>
    </w:p>
    <w:p w:rsidR="00707F9A" w:rsidRDefault="00707F9A" w:rsidP="00707F9A">
      <w:pPr>
        <w:pStyle w:val="ListParagraph"/>
        <w:spacing w:line="360" w:lineRule="auto"/>
        <w:ind w:firstLine="720"/>
        <w:rPr>
          <w:rFonts w:eastAsiaTheme="minorEastAsia"/>
        </w:rPr>
      </w:pPr>
      <w:r>
        <w:t>Hasil dari perhitungan DER</w:t>
      </w:r>
      <w:r w:rsidR="00EE6BB7">
        <w:t xml:space="preserve"> menunjukan bahwa </w:t>
      </w:r>
      <w:r w:rsidRPr="00707F9A">
        <w:rPr>
          <w:rFonts w:eastAsiaTheme="minorEastAsia"/>
        </w:rPr>
        <w:t>terdapat 43 perusahaan yang menunjukkan DER &lt; 2, artinya total liabilitas (hutang) yang dimiliki perusahaan lebih kecil jika dibandingkan dengan total ekuitasnya. Selebihnya, sebanyak 21 perusahaan yang menunjukkan DER &gt; 2, artinya total liabilitas (hutang) yang dimiliki perusahaan lebih besar jika dibandingkan dengan total ekuitasnya. Jika total hutang lebih besar daripada total ekuitas, maka risiko perusahaan dari sisi likuiditas keuangan juga akan semakin besar.</w:t>
      </w:r>
    </w:p>
    <w:p w:rsidR="00707F9A" w:rsidRDefault="00707F9A" w:rsidP="00707F9A">
      <w:pPr>
        <w:pStyle w:val="ListParagraph"/>
        <w:spacing w:line="360" w:lineRule="auto"/>
        <w:ind w:firstLine="720"/>
        <w:rPr>
          <w:rFonts w:eastAsiaTheme="minorEastAsia"/>
        </w:rPr>
      </w:pPr>
      <w:r>
        <w:t xml:space="preserve">Hasil dari perhitungan MBR menunjukan bahwa </w:t>
      </w:r>
      <w:r w:rsidRPr="00707F9A">
        <w:rPr>
          <w:rFonts w:eastAsiaTheme="minorEastAsia"/>
        </w:rPr>
        <w:t xml:space="preserve">TPIA memiliki MBR paling besar dan INKP memiliki MBR paling kecil. Rasio ini merupakan cerminan apresiasi atau penilaian investor terhadap nilai buku sebuah perusahaan melalui harga saham dan jumlah lembar saham yang beredar. </w:t>
      </w:r>
      <w:r w:rsidRPr="00707F9A">
        <w:rPr>
          <w:rFonts w:eastAsiaTheme="minorEastAsia"/>
        </w:rPr>
        <w:lastRenderedPageBreak/>
        <w:t>Semakin tinggi MBR, maka semakin baik pula penilaian investor terhadap nilai buku perusahaan tersebut. Artinya, TPIA merupakan perusahaan yang memiliki penilaian nilai buku yang sangat baik dari investor dan INKP merupakan perusahaan yang memiliki penilaian nilai buku yang kurang baik dari investor.</w:t>
      </w:r>
    </w:p>
    <w:p w:rsidR="00707F9A" w:rsidRDefault="00707F9A" w:rsidP="00707F9A">
      <w:pPr>
        <w:pStyle w:val="ListParagraph"/>
        <w:spacing w:line="360" w:lineRule="auto"/>
        <w:ind w:firstLine="720"/>
      </w:pPr>
      <w:r>
        <w:t xml:space="preserve">Hasil dari perhitungan </w:t>
      </w:r>
      <w:r>
        <w:rPr>
          <w:i/>
        </w:rPr>
        <w:t xml:space="preserve">Return </w:t>
      </w:r>
      <w:r>
        <w:t xml:space="preserve">Saham menunjukan bahwa terdapat 12 perusahaan yang menunjukkan </w:t>
      </w:r>
      <w:r>
        <w:rPr>
          <w:i/>
        </w:rPr>
        <w:t>return</w:t>
      </w:r>
      <w:r>
        <w:t xml:space="preserve"> positif, artinya tingkat pengembalian yang diperoleh sesuai harapan dan tingkat selisih harga saham lebih besar dari tahun sebelumnya. Terdapat 4 perusahaan yang menunjukkan </w:t>
      </w:r>
      <w:r>
        <w:rPr>
          <w:i/>
        </w:rPr>
        <w:t>return</w:t>
      </w:r>
      <w:r>
        <w:t xml:space="preserve"> netral (0), artinya tingkat pengembalian yang diperoleh belum maksimal dan tingkat selisih harga saham sama dengan tahun sebelumnya. Selebihnya, sebanyak 48 perusahaan yang menunjukkan </w:t>
      </w:r>
      <w:r>
        <w:rPr>
          <w:i/>
        </w:rPr>
        <w:t>return</w:t>
      </w:r>
      <w:r>
        <w:t xml:space="preserve"> negatif, artinya tingkat pengembalian yang diperoleh tidak sesuai harapan dan tingkat selisih harga saham lebih kecil dari tahun sebelumnya.</w:t>
      </w:r>
    </w:p>
    <w:p w:rsidR="00707F9A" w:rsidRDefault="00707F9A" w:rsidP="00707F9A">
      <w:pPr>
        <w:pStyle w:val="ListParagraph"/>
        <w:spacing w:line="360" w:lineRule="auto"/>
        <w:ind w:firstLine="720"/>
      </w:pPr>
      <w:r>
        <w:t>Hasil perhitungan uji normalitas dapat dilihat pada tabel berikut:</w:t>
      </w:r>
    </w:p>
    <w:p w:rsidR="00707F9A" w:rsidRPr="008309D4" w:rsidRDefault="00707F9A" w:rsidP="00707F9A">
      <w:pPr>
        <w:spacing w:line="240" w:lineRule="auto"/>
        <w:jc w:val="center"/>
        <w:rPr>
          <w:b/>
          <w:sz w:val="20"/>
        </w:rPr>
      </w:pPr>
      <w:r w:rsidRPr="008309D4">
        <w:rPr>
          <w:b/>
          <w:sz w:val="20"/>
        </w:rPr>
        <w:t>Hasil Uji Normalitas</w:t>
      </w:r>
    </w:p>
    <w:tbl>
      <w:tblPr>
        <w:tblW w:w="819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32"/>
        <w:gridCol w:w="1348"/>
        <w:gridCol w:w="1440"/>
        <w:gridCol w:w="1620"/>
        <w:gridCol w:w="1350"/>
      </w:tblGrid>
      <w:tr w:rsidR="00707F9A" w:rsidTr="00707F9A">
        <w:trPr>
          <w:cantSplit/>
          <w:tblHeader/>
        </w:trPr>
        <w:tc>
          <w:tcPr>
            <w:tcW w:w="8190" w:type="dxa"/>
            <w:gridSpan w:val="5"/>
            <w:tcBorders>
              <w:top w:val="nil"/>
              <w:left w:val="nil"/>
              <w:bottom w:val="nil"/>
              <w:right w:val="nil"/>
            </w:tcBorders>
            <w:shd w:val="clear" w:color="auto" w:fill="FFFFFF"/>
            <w:vAlign w:val="center"/>
          </w:tcPr>
          <w:p w:rsidR="00707F9A" w:rsidRDefault="00707F9A" w:rsidP="00F649C2">
            <w:pPr>
              <w:spacing w:line="240" w:lineRule="auto"/>
              <w:ind w:left="60" w:right="60"/>
              <w:rPr>
                <w:rFonts w:ascii="Arial" w:hAnsi="Arial" w:cs="Arial"/>
                <w:sz w:val="18"/>
                <w:szCs w:val="18"/>
              </w:rPr>
            </w:pPr>
            <w:r>
              <w:rPr>
                <w:rFonts w:ascii="Arial" w:hAnsi="Arial" w:cs="Arial"/>
                <w:b/>
                <w:bCs/>
                <w:sz w:val="18"/>
                <w:szCs w:val="18"/>
              </w:rPr>
              <w:t xml:space="preserve">                                         One-Sample Kolmogorov-Smirnov Test</w:t>
            </w:r>
          </w:p>
        </w:tc>
      </w:tr>
      <w:tr w:rsidR="00707F9A" w:rsidTr="00707F9A">
        <w:trPr>
          <w:cantSplit/>
          <w:tblHeader/>
        </w:trPr>
        <w:tc>
          <w:tcPr>
            <w:tcW w:w="378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707F9A" w:rsidRDefault="00707F9A" w:rsidP="00F649C2">
            <w:pPr>
              <w:spacing w:line="240" w:lineRule="auto"/>
              <w:jc w:val="center"/>
            </w:pPr>
          </w:p>
        </w:tc>
        <w:tc>
          <w:tcPr>
            <w:tcW w:w="1440" w:type="dxa"/>
            <w:tcBorders>
              <w:top w:val="single" w:sz="16" w:space="0" w:color="000000"/>
              <w:left w:val="single" w:sz="16" w:space="0" w:color="000000"/>
              <w:bottom w:val="single" w:sz="16" w:space="0" w:color="000000"/>
            </w:tcBorders>
            <w:shd w:val="clear" w:color="auto" w:fill="FFFFFF"/>
            <w:vAlign w:val="bottom"/>
          </w:tcPr>
          <w:p w:rsidR="00707F9A" w:rsidRDefault="00707F9A" w:rsidP="00F649C2">
            <w:pPr>
              <w:spacing w:line="240" w:lineRule="auto"/>
              <w:ind w:left="60" w:right="60"/>
              <w:jc w:val="center"/>
              <w:rPr>
                <w:rFonts w:ascii="Arial" w:hAnsi="Arial" w:cs="Arial"/>
                <w:sz w:val="18"/>
                <w:szCs w:val="18"/>
              </w:rPr>
            </w:pPr>
            <w:r>
              <w:rPr>
                <w:rFonts w:ascii="Arial" w:hAnsi="Arial" w:cs="Arial"/>
                <w:sz w:val="18"/>
                <w:szCs w:val="18"/>
              </w:rPr>
              <w:t>Unstandardized Residual</w:t>
            </w:r>
          </w:p>
        </w:tc>
        <w:tc>
          <w:tcPr>
            <w:tcW w:w="1620" w:type="dxa"/>
            <w:tcBorders>
              <w:top w:val="single" w:sz="16" w:space="0" w:color="000000"/>
              <w:bottom w:val="single" w:sz="16" w:space="0" w:color="000000"/>
            </w:tcBorders>
            <w:shd w:val="clear" w:color="auto" w:fill="FFFFFF"/>
            <w:vAlign w:val="bottom"/>
          </w:tcPr>
          <w:p w:rsidR="00707F9A" w:rsidRDefault="00707F9A" w:rsidP="00F649C2">
            <w:pPr>
              <w:spacing w:line="240" w:lineRule="auto"/>
              <w:ind w:left="60" w:right="60"/>
              <w:jc w:val="center"/>
              <w:rPr>
                <w:rFonts w:ascii="Arial" w:hAnsi="Arial" w:cs="Arial"/>
                <w:sz w:val="18"/>
                <w:szCs w:val="18"/>
              </w:rPr>
            </w:pPr>
            <w:r>
              <w:rPr>
                <w:rFonts w:ascii="Arial" w:hAnsi="Arial" w:cs="Arial"/>
                <w:sz w:val="18"/>
                <w:szCs w:val="18"/>
              </w:rPr>
              <w:t>Unstandardized Residual</w:t>
            </w:r>
          </w:p>
        </w:tc>
        <w:tc>
          <w:tcPr>
            <w:tcW w:w="1350" w:type="dxa"/>
            <w:tcBorders>
              <w:top w:val="single" w:sz="16" w:space="0" w:color="000000"/>
              <w:bottom w:val="single" w:sz="16" w:space="0" w:color="000000"/>
              <w:right w:val="single" w:sz="16" w:space="0" w:color="000000"/>
            </w:tcBorders>
            <w:shd w:val="clear" w:color="auto" w:fill="FFFFFF"/>
            <w:vAlign w:val="bottom"/>
          </w:tcPr>
          <w:p w:rsidR="00707F9A" w:rsidRDefault="00707F9A" w:rsidP="00F649C2">
            <w:pPr>
              <w:spacing w:line="240" w:lineRule="auto"/>
              <w:ind w:left="60" w:right="60"/>
              <w:jc w:val="center"/>
              <w:rPr>
                <w:rFonts w:ascii="Arial" w:hAnsi="Arial" w:cs="Arial"/>
                <w:sz w:val="18"/>
                <w:szCs w:val="18"/>
              </w:rPr>
            </w:pPr>
            <w:r>
              <w:rPr>
                <w:rFonts w:ascii="Arial" w:hAnsi="Arial" w:cs="Arial"/>
                <w:sz w:val="18"/>
                <w:szCs w:val="18"/>
              </w:rPr>
              <w:t>Unstandardized Residual</w:t>
            </w:r>
          </w:p>
        </w:tc>
      </w:tr>
      <w:tr w:rsidR="00707F9A" w:rsidTr="00707F9A">
        <w:trPr>
          <w:cantSplit/>
          <w:tblHeader/>
        </w:trPr>
        <w:tc>
          <w:tcPr>
            <w:tcW w:w="3780" w:type="dxa"/>
            <w:gridSpan w:val="2"/>
            <w:tcBorders>
              <w:top w:val="single" w:sz="16" w:space="0" w:color="000000"/>
              <w:left w:val="single" w:sz="16" w:space="0" w:color="000000"/>
              <w:bottom w:val="nil"/>
              <w:right w:val="single" w:sz="16" w:space="0" w:color="000000"/>
            </w:tcBorders>
            <w:shd w:val="clear" w:color="auto" w:fill="FFFFFF"/>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N</w:t>
            </w:r>
          </w:p>
        </w:tc>
        <w:tc>
          <w:tcPr>
            <w:tcW w:w="1440" w:type="dxa"/>
            <w:tcBorders>
              <w:top w:val="single" w:sz="16" w:space="0" w:color="000000"/>
              <w:left w:val="single" w:sz="16" w:space="0" w:color="000000"/>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64</w:t>
            </w:r>
          </w:p>
        </w:tc>
        <w:tc>
          <w:tcPr>
            <w:tcW w:w="1620" w:type="dxa"/>
            <w:tcBorders>
              <w:top w:val="single" w:sz="16" w:space="0" w:color="000000"/>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64</w:t>
            </w:r>
          </w:p>
        </w:tc>
        <w:tc>
          <w:tcPr>
            <w:tcW w:w="1350" w:type="dxa"/>
            <w:tcBorders>
              <w:top w:val="single" w:sz="16" w:space="0" w:color="000000"/>
              <w:bottom w:val="nil"/>
              <w:right w:val="single" w:sz="16" w:space="0" w:color="000000"/>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64</w:t>
            </w:r>
          </w:p>
        </w:tc>
      </w:tr>
      <w:tr w:rsidR="00707F9A" w:rsidTr="00707F9A">
        <w:trPr>
          <w:cantSplit/>
          <w:tblHeader/>
        </w:trPr>
        <w:tc>
          <w:tcPr>
            <w:tcW w:w="2432" w:type="dxa"/>
            <w:vMerge w:val="restart"/>
            <w:tcBorders>
              <w:top w:val="nil"/>
              <w:left w:val="single" w:sz="16" w:space="0" w:color="000000"/>
              <w:bottom w:val="nil"/>
              <w:right w:val="nil"/>
            </w:tcBorders>
            <w:shd w:val="clear" w:color="auto" w:fill="FFFFFF"/>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Normal Parameters</w:t>
            </w:r>
            <w:r>
              <w:rPr>
                <w:rFonts w:ascii="Arial" w:hAnsi="Arial" w:cs="Arial"/>
                <w:sz w:val="18"/>
                <w:szCs w:val="18"/>
                <w:vertAlign w:val="superscript"/>
              </w:rPr>
              <w:t>a,b</w:t>
            </w:r>
          </w:p>
        </w:tc>
        <w:tc>
          <w:tcPr>
            <w:tcW w:w="1348" w:type="dxa"/>
            <w:tcBorders>
              <w:top w:val="nil"/>
              <w:left w:val="nil"/>
              <w:bottom w:val="nil"/>
              <w:right w:val="single" w:sz="16" w:space="0" w:color="000000"/>
            </w:tcBorders>
            <w:shd w:val="clear" w:color="auto" w:fill="FFFFFF"/>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Mean</w:t>
            </w:r>
          </w:p>
        </w:tc>
        <w:tc>
          <w:tcPr>
            <w:tcW w:w="1440" w:type="dxa"/>
            <w:tcBorders>
              <w:top w:val="nil"/>
              <w:left w:val="single" w:sz="16" w:space="0" w:color="000000"/>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.0000000</w:t>
            </w:r>
          </w:p>
        </w:tc>
        <w:tc>
          <w:tcPr>
            <w:tcW w:w="1620" w:type="dxa"/>
            <w:tcBorders>
              <w:top w:val="nil"/>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.0000000</w:t>
            </w:r>
          </w:p>
        </w:tc>
        <w:tc>
          <w:tcPr>
            <w:tcW w:w="1350" w:type="dxa"/>
            <w:tcBorders>
              <w:top w:val="nil"/>
              <w:bottom w:val="nil"/>
              <w:right w:val="single" w:sz="16" w:space="0" w:color="000000"/>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.0000000</w:t>
            </w:r>
          </w:p>
        </w:tc>
      </w:tr>
      <w:tr w:rsidR="00707F9A" w:rsidTr="00707F9A">
        <w:trPr>
          <w:cantSplit/>
          <w:tblHeader/>
        </w:trPr>
        <w:tc>
          <w:tcPr>
            <w:tcW w:w="2432" w:type="dxa"/>
            <w:vMerge/>
            <w:tcBorders>
              <w:top w:val="nil"/>
              <w:left w:val="single" w:sz="16" w:space="0" w:color="000000"/>
              <w:bottom w:val="nil"/>
              <w:right w:val="nil"/>
            </w:tcBorders>
            <w:shd w:val="clear" w:color="auto" w:fill="FFFFFF"/>
          </w:tcPr>
          <w:p w:rsidR="00707F9A" w:rsidRDefault="00707F9A" w:rsidP="00F649C2">
            <w:pPr>
              <w:spacing w:line="240" w:lineRule="auto"/>
              <w:rPr>
                <w:rFonts w:ascii="Arial" w:hAnsi="Arial" w:cs="Arial"/>
                <w:sz w:val="18"/>
                <w:szCs w:val="18"/>
              </w:rPr>
            </w:pPr>
          </w:p>
        </w:tc>
        <w:tc>
          <w:tcPr>
            <w:tcW w:w="1348" w:type="dxa"/>
            <w:tcBorders>
              <w:top w:val="nil"/>
              <w:left w:val="nil"/>
              <w:bottom w:val="nil"/>
              <w:right w:val="single" w:sz="16" w:space="0" w:color="000000"/>
            </w:tcBorders>
            <w:shd w:val="clear" w:color="auto" w:fill="FFFFFF"/>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Std. Deviation</w:t>
            </w:r>
          </w:p>
        </w:tc>
        <w:tc>
          <w:tcPr>
            <w:tcW w:w="1440" w:type="dxa"/>
            <w:tcBorders>
              <w:top w:val="nil"/>
              <w:left w:val="single" w:sz="16" w:space="0" w:color="000000"/>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.35457719</w:t>
            </w:r>
          </w:p>
        </w:tc>
        <w:tc>
          <w:tcPr>
            <w:tcW w:w="1620" w:type="dxa"/>
            <w:tcBorders>
              <w:top w:val="nil"/>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.35693044</w:t>
            </w:r>
          </w:p>
        </w:tc>
        <w:tc>
          <w:tcPr>
            <w:tcW w:w="1350" w:type="dxa"/>
            <w:tcBorders>
              <w:top w:val="nil"/>
              <w:bottom w:val="nil"/>
              <w:right w:val="single" w:sz="16" w:space="0" w:color="000000"/>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.35473840</w:t>
            </w:r>
          </w:p>
        </w:tc>
      </w:tr>
      <w:tr w:rsidR="00707F9A" w:rsidTr="00707F9A">
        <w:trPr>
          <w:cantSplit/>
          <w:tblHeader/>
        </w:trPr>
        <w:tc>
          <w:tcPr>
            <w:tcW w:w="2432" w:type="dxa"/>
            <w:vMerge w:val="restart"/>
            <w:tcBorders>
              <w:top w:val="nil"/>
              <w:left w:val="single" w:sz="16" w:space="0" w:color="000000"/>
              <w:bottom w:val="nil"/>
              <w:right w:val="nil"/>
            </w:tcBorders>
            <w:shd w:val="clear" w:color="auto" w:fill="FFFFFF"/>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Most Extreme Differences</w:t>
            </w:r>
          </w:p>
        </w:tc>
        <w:tc>
          <w:tcPr>
            <w:tcW w:w="1348" w:type="dxa"/>
            <w:tcBorders>
              <w:top w:val="nil"/>
              <w:left w:val="nil"/>
              <w:bottom w:val="nil"/>
              <w:right w:val="single" w:sz="16" w:space="0" w:color="000000"/>
            </w:tcBorders>
            <w:shd w:val="clear" w:color="auto" w:fill="FFFFFF"/>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Absolute</w:t>
            </w:r>
          </w:p>
        </w:tc>
        <w:tc>
          <w:tcPr>
            <w:tcW w:w="1440" w:type="dxa"/>
            <w:tcBorders>
              <w:top w:val="nil"/>
              <w:left w:val="single" w:sz="16" w:space="0" w:color="000000"/>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.109</w:t>
            </w:r>
          </w:p>
        </w:tc>
        <w:tc>
          <w:tcPr>
            <w:tcW w:w="1620" w:type="dxa"/>
            <w:tcBorders>
              <w:top w:val="nil"/>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.107</w:t>
            </w:r>
          </w:p>
        </w:tc>
        <w:tc>
          <w:tcPr>
            <w:tcW w:w="1350" w:type="dxa"/>
            <w:tcBorders>
              <w:top w:val="nil"/>
              <w:bottom w:val="nil"/>
              <w:right w:val="single" w:sz="16" w:space="0" w:color="000000"/>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.107</w:t>
            </w:r>
          </w:p>
        </w:tc>
      </w:tr>
      <w:tr w:rsidR="00707F9A" w:rsidTr="00707F9A">
        <w:trPr>
          <w:cantSplit/>
          <w:tblHeader/>
        </w:trPr>
        <w:tc>
          <w:tcPr>
            <w:tcW w:w="2432" w:type="dxa"/>
            <w:vMerge/>
            <w:tcBorders>
              <w:top w:val="nil"/>
              <w:left w:val="single" w:sz="16" w:space="0" w:color="000000"/>
              <w:bottom w:val="nil"/>
              <w:right w:val="nil"/>
            </w:tcBorders>
            <w:shd w:val="clear" w:color="auto" w:fill="FFFFFF"/>
          </w:tcPr>
          <w:p w:rsidR="00707F9A" w:rsidRDefault="00707F9A" w:rsidP="00F649C2">
            <w:pPr>
              <w:spacing w:line="240" w:lineRule="auto"/>
              <w:rPr>
                <w:rFonts w:ascii="Arial" w:hAnsi="Arial" w:cs="Arial"/>
                <w:sz w:val="18"/>
                <w:szCs w:val="18"/>
              </w:rPr>
            </w:pPr>
          </w:p>
        </w:tc>
        <w:tc>
          <w:tcPr>
            <w:tcW w:w="1348" w:type="dxa"/>
            <w:tcBorders>
              <w:top w:val="nil"/>
              <w:left w:val="nil"/>
              <w:bottom w:val="nil"/>
              <w:right w:val="single" w:sz="16" w:space="0" w:color="000000"/>
            </w:tcBorders>
            <w:shd w:val="clear" w:color="auto" w:fill="FFFFFF"/>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Positive</w:t>
            </w:r>
          </w:p>
        </w:tc>
        <w:tc>
          <w:tcPr>
            <w:tcW w:w="1440" w:type="dxa"/>
            <w:tcBorders>
              <w:top w:val="nil"/>
              <w:left w:val="single" w:sz="16" w:space="0" w:color="000000"/>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.109</w:t>
            </w:r>
          </w:p>
        </w:tc>
        <w:tc>
          <w:tcPr>
            <w:tcW w:w="1620" w:type="dxa"/>
            <w:tcBorders>
              <w:top w:val="nil"/>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.107</w:t>
            </w:r>
          </w:p>
        </w:tc>
        <w:tc>
          <w:tcPr>
            <w:tcW w:w="1350" w:type="dxa"/>
            <w:tcBorders>
              <w:top w:val="nil"/>
              <w:bottom w:val="nil"/>
              <w:right w:val="single" w:sz="16" w:space="0" w:color="000000"/>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.107</w:t>
            </w:r>
          </w:p>
        </w:tc>
      </w:tr>
      <w:tr w:rsidR="00707F9A" w:rsidTr="00707F9A">
        <w:trPr>
          <w:cantSplit/>
          <w:tblHeader/>
        </w:trPr>
        <w:tc>
          <w:tcPr>
            <w:tcW w:w="2432" w:type="dxa"/>
            <w:vMerge/>
            <w:tcBorders>
              <w:top w:val="nil"/>
              <w:left w:val="single" w:sz="16" w:space="0" w:color="000000"/>
              <w:bottom w:val="nil"/>
              <w:right w:val="nil"/>
            </w:tcBorders>
            <w:shd w:val="clear" w:color="auto" w:fill="FFFFFF"/>
          </w:tcPr>
          <w:p w:rsidR="00707F9A" w:rsidRDefault="00707F9A" w:rsidP="00F649C2">
            <w:pPr>
              <w:spacing w:line="240" w:lineRule="auto"/>
              <w:rPr>
                <w:rFonts w:ascii="Arial" w:hAnsi="Arial" w:cs="Arial"/>
                <w:sz w:val="18"/>
                <w:szCs w:val="18"/>
              </w:rPr>
            </w:pPr>
          </w:p>
        </w:tc>
        <w:tc>
          <w:tcPr>
            <w:tcW w:w="1348" w:type="dxa"/>
            <w:tcBorders>
              <w:top w:val="nil"/>
              <w:left w:val="nil"/>
              <w:bottom w:val="nil"/>
              <w:right w:val="single" w:sz="16" w:space="0" w:color="000000"/>
            </w:tcBorders>
            <w:shd w:val="clear" w:color="auto" w:fill="FFFFFF"/>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Negative</w:t>
            </w:r>
          </w:p>
        </w:tc>
        <w:tc>
          <w:tcPr>
            <w:tcW w:w="1440" w:type="dxa"/>
            <w:tcBorders>
              <w:top w:val="nil"/>
              <w:left w:val="single" w:sz="16" w:space="0" w:color="000000"/>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-.072</w:t>
            </w:r>
          </w:p>
        </w:tc>
        <w:tc>
          <w:tcPr>
            <w:tcW w:w="1620" w:type="dxa"/>
            <w:tcBorders>
              <w:top w:val="nil"/>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-.081</w:t>
            </w:r>
          </w:p>
        </w:tc>
        <w:tc>
          <w:tcPr>
            <w:tcW w:w="1350" w:type="dxa"/>
            <w:tcBorders>
              <w:top w:val="nil"/>
              <w:bottom w:val="nil"/>
              <w:right w:val="single" w:sz="16" w:space="0" w:color="000000"/>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-.071</w:t>
            </w:r>
          </w:p>
        </w:tc>
      </w:tr>
      <w:tr w:rsidR="00707F9A" w:rsidTr="00707F9A">
        <w:trPr>
          <w:cantSplit/>
          <w:tblHeader/>
        </w:trPr>
        <w:tc>
          <w:tcPr>
            <w:tcW w:w="3780" w:type="dxa"/>
            <w:gridSpan w:val="2"/>
            <w:tcBorders>
              <w:top w:val="nil"/>
              <w:left w:val="single" w:sz="16" w:space="0" w:color="000000"/>
              <w:bottom w:val="nil"/>
              <w:right w:val="single" w:sz="16" w:space="0" w:color="000000"/>
            </w:tcBorders>
            <w:shd w:val="clear" w:color="auto" w:fill="FFFFFF"/>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Kolmogorov-Smirnov Z</w:t>
            </w:r>
          </w:p>
        </w:tc>
        <w:tc>
          <w:tcPr>
            <w:tcW w:w="1440" w:type="dxa"/>
            <w:tcBorders>
              <w:top w:val="nil"/>
              <w:left w:val="single" w:sz="16" w:space="0" w:color="000000"/>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.870</w:t>
            </w:r>
          </w:p>
        </w:tc>
        <w:tc>
          <w:tcPr>
            <w:tcW w:w="1620" w:type="dxa"/>
            <w:tcBorders>
              <w:top w:val="nil"/>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.858</w:t>
            </w:r>
          </w:p>
        </w:tc>
        <w:tc>
          <w:tcPr>
            <w:tcW w:w="1350" w:type="dxa"/>
            <w:tcBorders>
              <w:top w:val="nil"/>
              <w:bottom w:val="nil"/>
              <w:right w:val="single" w:sz="16" w:space="0" w:color="000000"/>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.853</w:t>
            </w:r>
          </w:p>
        </w:tc>
      </w:tr>
      <w:tr w:rsidR="00707F9A" w:rsidTr="00707F9A">
        <w:trPr>
          <w:cantSplit/>
          <w:tblHeader/>
        </w:trPr>
        <w:tc>
          <w:tcPr>
            <w:tcW w:w="3780" w:type="dxa"/>
            <w:gridSpan w:val="2"/>
            <w:tcBorders>
              <w:top w:val="nil"/>
              <w:left w:val="single" w:sz="16" w:space="0" w:color="000000"/>
              <w:bottom w:val="single" w:sz="16" w:space="0" w:color="000000"/>
              <w:right w:val="single" w:sz="16" w:space="0" w:color="000000"/>
            </w:tcBorders>
            <w:shd w:val="clear" w:color="auto" w:fill="FFFFFF"/>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Asymp. Sig. (2-tailed)</w:t>
            </w:r>
          </w:p>
        </w:tc>
        <w:tc>
          <w:tcPr>
            <w:tcW w:w="1440" w:type="dxa"/>
            <w:tcBorders>
              <w:top w:val="nil"/>
              <w:left w:val="single" w:sz="16" w:space="0" w:color="000000"/>
              <w:bottom w:val="single" w:sz="16" w:space="0" w:color="000000"/>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.435</w:t>
            </w:r>
          </w:p>
        </w:tc>
        <w:tc>
          <w:tcPr>
            <w:tcW w:w="1620" w:type="dxa"/>
            <w:tcBorders>
              <w:top w:val="nil"/>
              <w:bottom w:val="single" w:sz="16" w:space="0" w:color="000000"/>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.454</w:t>
            </w:r>
          </w:p>
        </w:tc>
        <w:tc>
          <w:tcPr>
            <w:tcW w:w="1350" w:type="dxa"/>
            <w:tcBorders>
              <w:top w:val="nil"/>
              <w:bottom w:val="single" w:sz="16" w:space="0" w:color="000000"/>
              <w:right w:val="single" w:sz="16" w:space="0" w:color="000000"/>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.461</w:t>
            </w:r>
          </w:p>
        </w:tc>
      </w:tr>
      <w:tr w:rsidR="00707F9A" w:rsidTr="00707F9A">
        <w:trPr>
          <w:cantSplit/>
        </w:trPr>
        <w:tc>
          <w:tcPr>
            <w:tcW w:w="8190" w:type="dxa"/>
            <w:gridSpan w:val="5"/>
            <w:tcBorders>
              <w:top w:val="nil"/>
              <w:left w:val="nil"/>
              <w:bottom w:val="nil"/>
              <w:right w:val="nil"/>
            </w:tcBorders>
            <w:shd w:val="clear" w:color="auto" w:fill="FFFFFF"/>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a. Test distribution is Normal.</w:t>
            </w:r>
          </w:p>
          <w:p w:rsidR="00707F9A" w:rsidRDefault="00707F9A" w:rsidP="00F649C2">
            <w:pPr>
              <w:spacing w:line="240" w:lineRule="auto"/>
              <w:ind w:left="60" w:right="60"/>
              <w:rPr>
                <w:rFonts w:ascii="Arial" w:hAnsi="Arial" w:cs="Arial"/>
                <w:sz w:val="18"/>
                <w:szCs w:val="18"/>
              </w:rPr>
            </w:pPr>
            <w:r>
              <w:rPr>
                <w:rFonts w:ascii="Arial" w:hAnsi="Arial" w:cs="Arial"/>
                <w:sz w:val="18"/>
                <w:szCs w:val="18"/>
              </w:rPr>
              <w:t>b. Calculated from data.</w:t>
            </w:r>
          </w:p>
          <w:p w:rsidR="00707F9A" w:rsidRPr="00D8093A" w:rsidRDefault="00707F9A" w:rsidP="00F649C2">
            <w:pPr>
              <w:spacing w:line="240" w:lineRule="auto"/>
              <w:ind w:left="60" w:right="60"/>
              <w:rPr>
                <w:i/>
                <w:sz w:val="18"/>
                <w:szCs w:val="18"/>
              </w:rPr>
            </w:pPr>
            <w:r w:rsidRPr="00D8093A">
              <w:rPr>
                <w:i/>
                <w:sz w:val="20"/>
                <w:szCs w:val="18"/>
              </w:rPr>
              <w:t>Sumber : Data Olahan SPSS 19, 2016</w:t>
            </w:r>
          </w:p>
        </w:tc>
      </w:tr>
    </w:tbl>
    <w:p w:rsidR="00707F9A" w:rsidRDefault="00707F9A" w:rsidP="00707F9A">
      <w:pPr>
        <w:pStyle w:val="ListParagraph"/>
        <w:spacing w:line="360" w:lineRule="auto"/>
        <w:ind w:firstLine="720"/>
      </w:pPr>
      <w:r>
        <w:t xml:space="preserve">Dari tabel di atas, dapat dilihat bahwa semua data terdistribusi normal dengan </w:t>
      </w:r>
      <w:r w:rsidRPr="00574878">
        <w:rPr>
          <w:i/>
        </w:rPr>
        <w:t>asymp. Sig</w:t>
      </w:r>
      <w:r>
        <w:t>. (2-</w:t>
      </w:r>
      <w:r w:rsidRPr="00574878">
        <w:rPr>
          <w:i/>
        </w:rPr>
        <w:t>tailed</w:t>
      </w:r>
      <w:r>
        <w:t>) ROE 0,435, DER 0,454 dan MBR 0,461 &gt; 0,05 bearti H</w:t>
      </w:r>
      <w:r>
        <w:rPr>
          <w:vertAlign w:val="subscript"/>
        </w:rPr>
        <w:t>o</w:t>
      </w:r>
      <w:r>
        <w:t xml:space="preserve"> diterima.</w:t>
      </w:r>
    </w:p>
    <w:p w:rsidR="00747C27" w:rsidRDefault="00747C27" w:rsidP="00707F9A">
      <w:pPr>
        <w:pStyle w:val="ListParagraph"/>
        <w:spacing w:line="360" w:lineRule="auto"/>
        <w:ind w:firstLine="720"/>
      </w:pPr>
    </w:p>
    <w:p w:rsidR="00747C27" w:rsidRDefault="00747C27" w:rsidP="00707F9A">
      <w:pPr>
        <w:pStyle w:val="ListParagraph"/>
        <w:spacing w:line="360" w:lineRule="auto"/>
        <w:ind w:firstLine="720"/>
      </w:pPr>
    </w:p>
    <w:p w:rsidR="00747C27" w:rsidRDefault="00747C27" w:rsidP="00707F9A">
      <w:pPr>
        <w:pStyle w:val="ListParagraph"/>
        <w:spacing w:line="360" w:lineRule="auto"/>
        <w:ind w:firstLine="720"/>
      </w:pPr>
    </w:p>
    <w:p w:rsidR="00747C27" w:rsidRPr="00707F9A" w:rsidRDefault="00747C27" w:rsidP="00707F9A">
      <w:pPr>
        <w:pStyle w:val="ListParagraph"/>
        <w:spacing w:line="360" w:lineRule="auto"/>
        <w:ind w:firstLine="720"/>
      </w:pPr>
    </w:p>
    <w:p w:rsidR="00F649C2" w:rsidRDefault="00707F9A" w:rsidP="00747C27">
      <w:pPr>
        <w:pStyle w:val="ListParagraph"/>
        <w:spacing w:line="360" w:lineRule="auto"/>
        <w:ind w:firstLine="720"/>
      </w:pPr>
      <w:r>
        <w:lastRenderedPageBreak/>
        <w:t>Hasil perhitungan uji regresi berganda dapat dilihat pada tabel berikut:</w:t>
      </w:r>
    </w:p>
    <w:p w:rsidR="00707F9A" w:rsidRPr="008309D4" w:rsidRDefault="00F649C2" w:rsidP="00F649C2">
      <w:pPr>
        <w:spacing w:line="240" w:lineRule="auto"/>
        <w:ind w:left="1440" w:firstLine="720"/>
        <w:rPr>
          <w:b/>
          <w:sz w:val="20"/>
        </w:rPr>
      </w:pPr>
      <w:r>
        <w:rPr>
          <w:b/>
          <w:sz w:val="20"/>
        </w:rPr>
        <w:t xml:space="preserve">     </w:t>
      </w:r>
      <w:r w:rsidR="00747C27">
        <w:rPr>
          <w:b/>
          <w:sz w:val="20"/>
        </w:rPr>
        <w:tab/>
      </w:r>
      <w:r w:rsidR="00747C27">
        <w:rPr>
          <w:b/>
          <w:sz w:val="20"/>
        </w:rPr>
        <w:tab/>
      </w:r>
      <w:r w:rsidR="00707F9A">
        <w:rPr>
          <w:b/>
          <w:sz w:val="20"/>
        </w:rPr>
        <w:t>Hasil Uji Regresi Berganda</w:t>
      </w:r>
    </w:p>
    <w:tbl>
      <w:tblPr>
        <w:tblW w:w="4581" w:type="dxa"/>
        <w:tblInd w:w="2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7"/>
        <w:gridCol w:w="1336"/>
        <w:gridCol w:w="1335"/>
      </w:tblGrid>
      <w:tr w:rsidR="00707F9A" w:rsidTr="00747C27">
        <w:trPr>
          <w:cantSplit/>
          <w:tblHeader/>
        </w:trPr>
        <w:tc>
          <w:tcPr>
            <w:tcW w:w="4581" w:type="dxa"/>
            <w:gridSpan w:val="4"/>
            <w:tcBorders>
              <w:top w:val="nil"/>
              <w:left w:val="nil"/>
              <w:bottom w:val="nil"/>
              <w:right w:val="nil"/>
            </w:tcBorders>
            <w:shd w:val="clear" w:color="auto" w:fill="FFFFFF"/>
            <w:vAlign w:val="center"/>
          </w:tcPr>
          <w:p w:rsidR="00707F9A" w:rsidRDefault="00707F9A" w:rsidP="00F649C2">
            <w:pPr>
              <w:spacing w:line="240" w:lineRule="auto"/>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707F9A" w:rsidTr="00747C27">
        <w:trPr>
          <w:cantSplit/>
          <w:tblHeader/>
        </w:trPr>
        <w:tc>
          <w:tcPr>
            <w:tcW w:w="191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Model</w:t>
            </w:r>
          </w:p>
        </w:tc>
        <w:tc>
          <w:tcPr>
            <w:tcW w:w="2671" w:type="dxa"/>
            <w:gridSpan w:val="2"/>
            <w:tcBorders>
              <w:top w:val="single" w:sz="16" w:space="0" w:color="000000"/>
              <w:left w:val="single" w:sz="16" w:space="0" w:color="000000"/>
              <w:right w:val="single" w:sz="16" w:space="0" w:color="000000"/>
            </w:tcBorders>
            <w:shd w:val="clear" w:color="auto" w:fill="FFFFFF"/>
            <w:vAlign w:val="bottom"/>
          </w:tcPr>
          <w:p w:rsidR="00707F9A" w:rsidRDefault="00707F9A" w:rsidP="00F649C2">
            <w:pPr>
              <w:spacing w:line="240" w:lineRule="auto"/>
              <w:ind w:left="60" w:right="60"/>
              <w:jc w:val="center"/>
              <w:rPr>
                <w:rFonts w:ascii="Arial" w:hAnsi="Arial" w:cs="Arial"/>
                <w:sz w:val="18"/>
                <w:szCs w:val="18"/>
              </w:rPr>
            </w:pPr>
            <w:r>
              <w:rPr>
                <w:rFonts w:ascii="Arial" w:hAnsi="Arial" w:cs="Arial"/>
                <w:sz w:val="18"/>
                <w:szCs w:val="18"/>
              </w:rPr>
              <w:t>Unstandardized Coefficients</w:t>
            </w:r>
          </w:p>
        </w:tc>
      </w:tr>
      <w:tr w:rsidR="00707F9A" w:rsidTr="00747C27">
        <w:trPr>
          <w:cantSplit/>
          <w:tblHeader/>
        </w:trPr>
        <w:tc>
          <w:tcPr>
            <w:tcW w:w="191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707F9A" w:rsidRDefault="00707F9A" w:rsidP="00F649C2">
            <w:pPr>
              <w:spacing w:line="240" w:lineRule="auto"/>
              <w:rPr>
                <w:rFonts w:ascii="Arial" w:hAnsi="Arial" w:cs="Arial"/>
                <w:sz w:val="18"/>
                <w:szCs w:val="18"/>
              </w:rPr>
            </w:pPr>
          </w:p>
        </w:tc>
        <w:tc>
          <w:tcPr>
            <w:tcW w:w="1336" w:type="dxa"/>
            <w:tcBorders>
              <w:left w:val="single" w:sz="16" w:space="0" w:color="000000"/>
              <w:bottom w:val="single" w:sz="16" w:space="0" w:color="000000"/>
            </w:tcBorders>
            <w:shd w:val="clear" w:color="auto" w:fill="FFFFFF"/>
            <w:vAlign w:val="bottom"/>
          </w:tcPr>
          <w:p w:rsidR="00707F9A" w:rsidRDefault="00707F9A" w:rsidP="00F649C2">
            <w:pPr>
              <w:spacing w:line="240" w:lineRule="auto"/>
              <w:ind w:left="60" w:right="60"/>
              <w:jc w:val="center"/>
              <w:rPr>
                <w:rFonts w:ascii="Arial" w:hAnsi="Arial" w:cs="Arial"/>
                <w:sz w:val="18"/>
                <w:szCs w:val="18"/>
              </w:rPr>
            </w:pPr>
            <w:r>
              <w:rPr>
                <w:rFonts w:ascii="Arial" w:hAnsi="Arial" w:cs="Arial"/>
                <w:sz w:val="18"/>
                <w:szCs w:val="18"/>
              </w:rPr>
              <w:t>B</w:t>
            </w:r>
          </w:p>
        </w:tc>
        <w:tc>
          <w:tcPr>
            <w:tcW w:w="1335" w:type="dxa"/>
            <w:tcBorders>
              <w:bottom w:val="single" w:sz="16" w:space="0" w:color="000000"/>
              <w:right w:val="single" w:sz="16" w:space="0" w:color="000000"/>
            </w:tcBorders>
            <w:shd w:val="clear" w:color="auto" w:fill="FFFFFF"/>
            <w:vAlign w:val="bottom"/>
          </w:tcPr>
          <w:p w:rsidR="00707F9A" w:rsidRDefault="00707F9A" w:rsidP="00F649C2">
            <w:pPr>
              <w:spacing w:line="240" w:lineRule="auto"/>
              <w:ind w:left="60" w:right="60"/>
              <w:jc w:val="center"/>
              <w:rPr>
                <w:rFonts w:ascii="Arial" w:hAnsi="Arial" w:cs="Arial"/>
                <w:sz w:val="18"/>
                <w:szCs w:val="18"/>
              </w:rPr>
            </w:pPr>
            <w:r>
              <w:rPr>
                <w:rFonts w:ascii="Arial" w:hAnsi="Arial" w:cs="Arial"/>
                <w:sz w:val="18"/>
                <w:szCs w:val="18"/>
              </w:rPr>
              <w:t>Std. Error</w:t>
            </w:r>
          </w:p>
        </w:tc>
      </w:tr>
      <w:tr w:rsidR="00707F9A" w:rsidTr="00747C27">
        <w:trPr>
          <w:cantSplit/>
          <w:tblHead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1</w:t>
            </w:r>
          </w:p>
        </w:tc>
        <w:tc>
          <w:tcPr>
            <w:tcW w:w="1177" w:type="dxa"/>
            <w:tcBorders>
              <w:top w:val="single" w:sz="16" w:space="0" w:color="000000"/>
              <w:left w:val="nil"/>
              <w:bottom w:val="nil"/>
              <w:right w:val="single" w:sz="16" w:space="0" w:color="000000"/>
            </w:tcBorders>
            <w:shd w:val="clear" w:color="auto" w:fill="FFFFFF"/>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(Constant)</w:t>
            </w:r>
          </w:p>
        </w:tc>
        <w:tc>
          <w:tcPr>
            <w:tcW w:w="1336" w:type="dxa"/>
            <w:tcBorders>
              <w:top w:val="single" w:sz="16" w:space="0" w:color="000000"/>
              <w:left w:val="single" w:sz="16" w:space="0" w:color="000000"/>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-.206</w:t>
            </w:r>
          </w:p>
        </w:tc>
        <w:tc>
          <w:tcPr>
            <w:tcW w:w="1335" w:type="dxa"/>
            <w:tcBorders>
              <w:top w:val="single" w:sz="16" w:space="0" w:color="000000"/>
              <w:bottom w:val="nil"/>
              <w:right w:val="single" w:sz="16" w:space="0" w:color="000000"/>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.047</w:t>
            </w:r>
          </w:p>
        </w:tc>
      </w:tr>
      <w:tr w:rsidR="00707F9A" w:rsidTr="00747C27">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Pr>
          <w:p w:rsidR="00707F9A" w:rsidRDefault="00707F9A" w:rsidP="00F649C2">
            <w:pPr>
              <w:spacing w:line="240" w:lineRule="auto"/>
              <w:rPr>
                <w:rFonts w:ascii="Arial" w:hAnsi="Arial" w:cs="Arial"/>
                <w:sz w:val="18"/>
                <w:szCs w:val="18"/>
              </w:rPr>
            </w:pPr>
          </w:p>
        </w:tc>
        <w:tc>
          <w:tcPr>
            <w:tcW w:w="1177" w:type="dxa"/>
            <w:tcBorders>
              <w:top w:val="nil"/>
              <w:left w:val="nil"/>
              <w:bottom w:val="nil"/>
              <w:right w:val="single" w:sz="16" w:space="0" w:color="000000"/>
            </w:tcBorders>
            <w:shd w:val="clear" w:color="auto" w:fill="FFFFFF"/>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ROE</w:t>
            </w:r>
          </w:p>
        </w:tc>
        <w:tc>
          <w:tcPr>
            <w:tcW w:w="1336" w:type="dxa"/>
            <w:tcBorders>
              <w:top w:val="nil"/>
              <w:left w:val="single" w:sz="16" w:space="0" w:color="000000"/>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-1.964E-5</w:t>
            </w:r>
          </w:p>
        </w:tc>
        <w:tc>
          <w:tcPr>
            <w:tcW w:w="1335" w:type="dxa"/>
            <w:tcBorders>
              <w:top w:val="nil"/>
              <w:bottom w:val="nil"/>
              <w:right w:val="single" w:sz="16" w:space="0" w:color="000000"/>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.000</w:t>
            </w:r>
          </w:p>
        </w:tc>
      </w:tr>
      <w:tr w:rsidR="00707F9A" w:rsidTr="00747C27">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Pr>
          <w:p w:rsidR="00707F9A" w:rsidRDefault="00707F9A" w:rsidP="00F649C2">
            <w:pPr>
              <w:spacing w:line="240" w:lineRule="auto"/>
              <w:rPr>
                <w:rFonts w:ascii="Arial" w:hAnsi="Arial" w:cs="Arial"/>
                <w:sz w:val="18"/>
                <w:szCs w:val="18"/>
              </w:rPr>
            </w:pPr>
          </w:p>
        </w:tc>
        <w:tc>
          <w:tcPr>
            <w:tcW w:w="1177" w:type="dxa"/>
            <w:tcBorders>
              <w:top w:val="nil"/>
              <w:left w:val="nil"/>
              <w:bottom w:val="nil"/>
              <w:right w:val="single" w:sz="16" w:space="0" w:color="000000"/>
            </w:tcBorders>
            <w:shd w:val="clear" w:color="auto" w:fill="FFFFFF"/>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DER</w:t>
            </w:r>
          </w:p>
        </w:tc>
        <w:tc>
          <w:tcPr>
            <w:tcW w:w="1336" w:type="dxa"/>
            <w:tcBorders>
              <w:top w:val="nil"/>
              <w:left w:val="single" w:sz="16" w:space="0" w:color="000000"/>
              <w:bottom w:val="nil"/>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-.002</w:t>
            </w:r>
          </w:p>
        </w:tc>
        <w:tc>
          <w:tcPr>
            <w:tcW w:w="1335" w:type="dxa"/>
            <w:tcBorders>
              <w:top w:val="nil"/>
              <w:bottom w:val="nil"/>
              <w:right w:val="single" w:sz="16" w:space="0" w:color="000000"/>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.002</w:t>
            </w:r>
          </w:p>
        </w:tc>
      </w:tr>
      <w:tr w:rsidR="00707F9A" w:rsidTr="00747C27">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707F9A" w:rsidRDefault="00707F9A" w:rsidP="00F649C2">
            <w:pPr>
              <w:spacing w:line="240" w:lineRule="auto"/>
              <w:rPr>
                <w:rFonts w:ascii="Arial" w:hAnsi="Arial" w:cs="Arial"/>
                <w:sz w:val="18"/>
                <w:szCs w:val="18"/>
              </w:rPr>
            </w:pPr>
          </w:p>
        </w:tc>
        <w:tc>
          <w:tcPr>
            <w:tcW w:w="1177" w:type="dxa"/>
            <w:tcBorders>
              <w:top w:val="nil"/>
              <w:left w:val="nil"/>
              <w:bottom w:val="single" w:sz="16" w:space="0" w:color="000000"/>
              <w:right w:val="single" w:sz="16" w:space="0" w:color="000000"/>
            </w:tcBorders>
            <w:shd w:val="clear" w:color="auto" w:fill="FFFFFF"/>
          </w:tcPr>
          <w:p w:rsidR="00707F9A" w:rsidRDefault="00707F9A" w:rsidP="00F649C2">
            <w:pPr>
              <w:spacing w:line="240" w:lineRule="auto"/>
              <w:ind w:left="60" w:right="60"/>
              <w:rPr>
                <w:rFonts w:ascii="Arial" w:hAnsi="Arial" w:cs="Arial"/>
                <w:sz w:val="18"/>
                <w:szCs w:val="18"/>
              </w:rPr>
            </w:pPr>
            <w:r>
              <w:rPr>
                <w:rFonts w:ascii="Arial" w:hAnsi="Arial" w:cs="Arial"/>
                <w:sz w:val="18"/>
                <w:szCs w:val="18"/>
              </w:rPr>
              <w:t>MBR</w:t>
            </w:r>
          </w:p>
        </w:tc>
        <w:tc>
          <w:tcPr>
            <w:tcW w:w="1336" w:type="dxa"/>
            <w:tcBorders>
              <w:top w:val="nil"/>
              <w:left w:val="single" w:sz="16" w:space="0" w:color="000000"/>
              <w:bottom w:val="single" w:sz="16" w:space="0" w:color="000000"/>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6.131E-5</w:t>
            </w:r>
          </w:p>
        </w:tc>
        <w:tc>
          <w:tcPr>
            <w:tcW w:w="1335" w:type="dxa"/>
            <w:tcBorders>
              <w:top w:val="nil"/>
              <w:bottom w:val="single" w:sz="16" w:space="0" w:color="000000"/>
              <w:right w:val="single" w:sz="16" w:space="0" w:color="000000"/>
            </w:tcBorders>
            <w:shd w:val="clear" w:color="auto" w:fill="FFFFFF"/>
          </w:tcPr>
          <w:p w:rsidR="00707F9A" w:rsidRDefault="00707F9A" w:rsidP="00F649C2">
            <w:pPr>
              <w:spacing w:line="240" w:lineRule="auto"/>
              <w:ind w:left="60" w:right="60"/>
              <w:jc w:val="right"/>
              <w:rPr>
                <w:rFonts w:ascii="Arial" w:hAnsi="Arial" w:cs="Arial"/>
                <w:sz w:val="18"/>
                <w:szCs w:val="18"/>
              </w:rPr>
            </w:pPr>
            <w:r>
              <w:rPr>
                <w:rFonts w:ascii="Arial" w:hAnsi="Arial" w:cs="Arial"/>
                <w:sz w:val="18"/>
                <w:szCs w:val="18"/>
              </w:rPr>
              <w:t>.000</w:t>
            </w:r>
          </w:p>
        </w:tc>
      </w:tr>
    </w:tbl>
    <w:p w:rsidR="00707F9A" w:rsidRDefault="00707F9A" w:rsidP="00747C27">
      <w:pPr>
        <w:spacing w:line="240" w:lineRule="auto"/>
        <w:ind w:left="2070"/>
        <w:rPr>
          <w:rFonts w:ascii="Arial" w:hAnsi="Arial" w:cs="Arial"/>
          <w:sz w:val="18"/>
          <w:szCs w:val="18"/>
        </w:rPr>
      </w:pPr>
      <w:r>
        <w:rPr>
          <w:rFonts w:ascii="Arial" w:hAnsi="Arial" w:cs="Arial"/>
          <w:sz w:val="18"/>
          <w:szCs w:val="18"/>
        </w:rPr>
        <w:t xml:space="preserve">           a. Dependent Variable: Return</w:t>
      </w:r>
    </w:p>
    <w:p w:rsidR="00707F9A" w:rsidRPr="008309D4" w:rsidRDefault="00707F9A" w:rsidP="00747C27">
      <w:pPr>
        <w:spacing w:line="240" w:lineRule="auto"/>
        <w:ind w:left="2070"/>
        <w:rPr>
          <w:i/>
          <w:sz w:val="20"/>
        </w:rPr>
      </w:pPr>
      <w:r>
        <w:rPr>
          <w:i/>
          <w:sz w:val="20"/>
        </w:rPr>
        <w:t xml:space="preserve">           Sumber : Data Olahan SPSS 19, 2016</w:t>
      </w:r>
    </w:p>
    <w:p w:rsidR="00F649C2" w:rsidRPr="00D11DD9" w:rsidRDefault="00F649C2" w:rsidP="00F649C2">
      <w:pPr>
        <w:pStyle w:val="ListParagraph"/>
        <w:spacing w:line="360" w:lineRule="auto"/>
        <w:ind w:left="759" w:firstLine="681"/>
        <w:rPr>
          <w:lang w:val="it-IT"/>
        </w:rPr>
      </w:pPr>
      <w:r w:rsidRPr="00D11DD9">
        <w:rPr>
          <w:lang w:val="it-IT"/>
        </w:rPr>
        <w:t>Dari Tabel di atas, dapat diketahui persamaan regresi linear berganda sebagai berikut :</w:t>
      </w:r>
    </w:p>
    <w:p w:rsidR="00F649C2" w:rsidRPr="00940E0D" w:rsidRDefault="00F649C2" w:rsidP="00F649C2">
      <w:pPr>
        <w:spacing w:line="360" w:lineRule="auto"/>
        <w:ind w:firstLine="720"/>
        <w:rPr>
          <w:vertAlign w:val="subscript"/>
          <w:lang w:val="it-IT"/>
        </w:rPr>
      </w:pPr>
      <w:r w:rsidRPr="00D11DD9">
        <w:rPr>
          <w:lang w:val="it-IT"/>
        </w:rPr>
        <w:t xml:space="preserve">Y  =  </w:t>
      </w:r>
      <w:r>
        <w:rPr>
          <w:lang w:val="it-IT"/>
        </w:rPr>
        <w:t>-0,206 – 0,00001964</w:t>
      </w:r>
      <w:r w:rsidRPr="00D11DD9">
        <w:rPr>
          <w:lang w:val="it-IT"/>
        </w:rPr>
        <w:t>X</w:t>
      </w:r>
      <w:r w:rsidRPr="00D11DD9">
        <w:rPr>
          <w:vertAlign w:val="subscript"/>
          <w:lang w:val="it-IT"/>
        </w:rPr>
        <w:t>1</w:t>
      </w:r>
      <w:r>
        <w:rPr>
          <w:lang w:val="it-IT"/>
        </w:rPr>
        <w:t xml:space="preserve"> – 0,002</w:t>
      </w:r>
      <w:r w:rsidRPr="00D11DD9">
        <w:rPr>
          <w:lang w:val="it-IT"/>
        </w:rPr>
        <w:t>X</w:t>
      </w:r>
      <w:r w:rsidRPr="00D11DD9">
        <w:rPr>
          <w:vertAlign w:val="subscript"/>
          <w:lang w:val="it-IT"/>
        </w:rPr>
        <w:t xml:space="preserve">2 </w:t>
      </w:r>
      <w:r>
        <w:rPr>
          <w:lang w:val="it-IT"/>
        </w:rPr>
        <w:t>+ 0,00006131X</w:t>
      </w:r>
      <w:r>
        <w:rPr>
          <w:vertAlign w:val="subscript"/>
          <w:lang w:val="it-IT"/>
        </w:rPr>
        <w:t>3</w:t>
      </w:r>
    </w:p>
    <w:p w:rsidR="00F649C2" w:rsidRPr="00D11DD9" w:rsidRDefault="00F649C2" w:rsidP="00F649C2">
      <w:pPr>
        <w:pStyle w:val="ListParagraph"/>
        <w:spacing w:line="360" w:lineRule="auto"/>
        <w:ind w:left="759" w:firstLine="681"/>
        <w:rPr>
          <w:lang w:val="it-IT"/>
        </w:rPr>
      </w:pPr>
      <w:r w:rsidRPr="00D11DD9">
        <w:rPr>
          <w:lang w:val="it-IT"/>
        </w:rPr>
        <w:t xml:space="preserve">Model persamaan regresi yang dapat dituliskan dari hasil tersebut dalam bentuk persamaan regresi </w:t>
      </w:r>
      <w:r w:rsidRPr="00D11DD9">
        <w:rPr>
          <w:i/>
          <w:lang w:val="it-IT"/>
        </w:rPr>
        <w:t>standardized</w:t>
      </w:r>
      <w:r w:rsidRPr="00D11DD9">
        <w:rPr>
          <w:lang w:val="it-IT"/>
        </w:rPr>
        <w:t xml:space="preserve"> adalah sebagai berikut :</w:t>
      </w:r>
    </w:p>
    <w:p w:rsidR="00F649C2" w:rsidRPr="00D11DD9" w:rsidRDefault="00F649C2" w:rsidP="00F649C2">
      <w:pPr>
        <w:numPr>
          <w:ilvl w:val="0"/>
          <w:numId w:val="3"/>
        </w:numPr>
        <w:spacing w:line="360" w:lineRule="auto"/>
        <w:rPr>
          <w:lang w:val="it-IT"/>
        </w:rPr>
      </w:pPr>
      <w:r w:rsidRPr="00D11DD9">
        <w:rPr>
          <w:lang w:val="it-IT"/>
        </w:rPr>
        <w:t>Koefisien regresi (</w:t>
      </w:r>
      <w:r w:rsidRPr="00D11DD9">
        <w:t>β</w:t>
      </w:r>
      <w:r w:rsidRPr="00D11DD9">
        <w:rPr>
          <w:lang w:val="it-IT"/>
        </w:rPr>
        <w:t xml:space="preserve">) bo sebesar </w:t>
      </w:r>
      <w:r>
        <w:rPr>
          <w:lang w:val="it-IT"/>
        </w:rPr>
        <w:t xml:space="preserve">-0,206 </w:t>
      </w:r>
      <w:r w:rsidRPr="00D11DD9">
        <w:rPr>
          <w:lang w:val="it-IT"/>
        </w:rPr>
        <w:t xml:space="preserve">menerangkan bahwa apabila </w:t>
      </w:r>
      <w:r>
        <w:rPr>
          <w:i/>
          <w:lang w:val="it-IT"/>
        </w:rPr>
        <w:t xml:space="preserve">Return On Equity </w:t>
      </w:r>
      <w:r>
        <w:rPr>
          <w:lang w:val="it-IT"/>
        </w:rPr>
        <w:t xml:space="preserve">(ROE), </w:t>
      </w:r>
      <w:r>
        <w:rPr>
          <w:i/>
          <w:lang w:val="it-IT"/>
        </w:rPr>
        <w:t xml:space="preserve">Debt to Equity Ratios </w:t>
      </w:r>
      <w:r>
        <w:rPr>
          <w:lang w:val="it-IT"/>
        </w:rPr>
        <w:t xml:space="preserve">(DER) dan </w:t>
      </w:r>
      <w:r>
        <w:rPr>
          <w:i/>
          <w:lang w:val="it-IT"/>
        </w:rPr>
        <w:t>Market to Book Ratios</w:t>
      </w:r>
      <w:r>
        <w:rPr>
          <w:lang w:val="it-IT"/>
        </w:rPr>
        <w:t xml:space="preserve"> (MBR) sama dengan </w:t>
      </w:r>
      <w:r w:rsidRPr="00D11DD9">
        <w:rPr>
          <w:lang w:val="it-IT"/>
        </w:rPr>
        <w:t>nol, maka</w:t>
      </w:r>
      <w:r>
        <w:rPr>
          <w:lang w:val="it-IT"/>
        </w:rPr>
        <w:t xml:space="preserve"> pengaruh terhadap </w:t>
      </w:r>
      <w:r w:rsidRPr="00A55E13">
        <w:rPr>
          <w:i/>
          <w:lang w:val="it-IT"/>
        </w:rPr>
        <w:t>return</w:t>
      </w:r>
      <w:r>
        <w:rPr>
          <w:lang w:val="it-IT"/>
        </w:rPr>
        <w:t xml:space="preserve"> saham adalah </w:t>
      </w:r>
      <w:r w:rsidRPr="00D11DD9">
        <w:rPr>
          <w:lang w:val="it-IT"/>
        </w:rPr>
        <w:t xml:space="preserve">sebesar </w:t>
      </w:r>
      <w:r>
        <w:rPr>
          <w:lang w:val="it-IT"/>
        </w:rPr>
        <w:t>-0,206</w:t>
      </w:r>
      <w:r w:rsidRPr="00D11DD9">
        <w:rPr>
          <w:lang w:val="it-IT"/>
        </w:rPr>
        <w:t>.</w:t>
      </w:r>
    </w:p>
    <w:p w:rsidR="00F649C2" w:rsidRDefault="00F649C2" w:rsidP="00F649C2">
      <w:pPr>
        <w:numPr>
          <w:ilvl w:val="0"/>
          <w:numId w:val="3"/>
        </w:numPr>
        <w:spacing w:line="360" w:lineRule="auto"/>
        <w:rPr>
          <w:lang w:val="it-IT"/>
        </w:rPr>
      </w:pPr>
      <w:r w:rsidRPr="00D11DD9">
        <w:rPr>
          <w:lang w:val="it-IT"/>
        </w:rPr>
        <w:t xml:space="preserve">Apabila </w:t>
      </w:r>
      <w:r>
        <w:rPr>
          <w:i/>
          <w:lang w:val="it-IT"/>
        </w:rPr>
        <w:t xml:space="preserve">Return On Equity </w:t>
      </w:r>
      <w:r>
        <w:rPr>
          <w:lang w:val="it-IT"/>
        </w:rPr>
        <w:t xml:space="preserve">(ROE) </w:t>
      </w:r>
      <w:r w:rsidRPr="00D11DD9">
        <w:rPr>
          <w:lang w:val="it-IT"/>
        </w:rPr>
        <w:t xml:space="preserve">meningkat sebesar satu satuan maka </w:t>
      </w:r>
      <w:r>
        <w:rPr>
          <w:lang w:val="it-IT"/>
        </w:rPr>
        <w:t xml:space="preserve">pengaruh terhadap </w:t>
      </w:r>
      <w:r>
        <w:rPr>
          <w:i/>
          <w:lang w:val="it-IT"/>
        </w:rPr>
        <w:t xml:space="preserve">return </w:t>
      </w:r>
      <w:r>
        <w:rPr>
          <w:lang w:val="it-IT"/>
        </w:rPr>
        <w:t>saham</w:t>
      </w:r>
      <w:r>
        <w:rPr>
          <w:i/>
          <w:lang w:val="it-IT"/>
        </w:rPr>
        <w:t xml:space="preserve"> </w:t>
      </w:r>
      <w:r w:rsidRPr="00D11DD9">
        <w:rPr>
          <w:lang w:val="it-IT"/>
        </w:rPr>
        <w:t xml:space="preserve">akan </w:t>
      </w:r>
      <w:r>
        <w:rPr>
          <w:lang w:val="it-IT"/>
        </w:rPr>
        <w:t xml:space="preserve">turun sebesar 0,00001964 </w:t>
      </w:r>
      <w:r w:rsidRPr="00D11DD9">
        <w:rPr>
          <w:lang w:val="it-IT"/>
        </w:rPr>
        <w:t>satuan.</w:t>
      </w:r>
    </w:p>
    <w:p w:rsidR="00F649C2" w:rsidRDefault="00F649C2" w:rsidP="00F649C2">
      <w:pPr>
        <w:numPr>
          <w:ilvl w:val="0"/>
          <w:numId w:val="3"/>
        </w:numPr>
        <w:spacing w:line="360" w:lineRule="auto"/>
        <w:rPr>
          <w:lang w:val="it-IT"/>
        </w:rPr>
      </w:pPr>
      <w:r w:rsidRPr="00D11DD9">
        <w:rPr>
          <w:lang w:val="it-IT"/>
        </w:rPr>
        <w:t xml:space="preserve">Apabila </w:t>
      </w:r>
      <w:r>
        <w:rPr>
          <w:i/>
          <w:lang w:val="it-IT"/>
        </w:rPr>
        <w:t>Debt to Equity Ratios</w:t>
      </w:r>
      <w:r>
        <w:rPr>
          <w:lang w:val="it-IT"/>
        </w:rPr>
        <w:t xml:space="preserve"> (DER) </w:t>
      </w:r>
      <w:r w:rsidRPr="00D11DD9">
        <w:rPr>
          <w:lang w:val="it-IT"/>
        </w:rPr>
        <w:t xml:space="preserve">meningkat sebesar satu satuan maka </w:t>
      </w:r>
      <w:r>
        <w:rPr>
          <w:lang w:val="it-IT"/>
        </w:rPr>
        <w:t xml:space="preserve">pengaruh terhadap </w:t>
      </w:r>
      <w:r>
        <w:rPr>
          <w:i/>
          <w:lang w:val="it-IT"/>
        </w:rPr>
        <w:t xml:space="preserve">return </w:t>
      </w:r>
      <w:r w:rsidRPr="00AF5C3A">
        <w:rPr>
          <w:lang w:val="it-IT"/>
        </w:rPr>
        <w:t>saham</w:t>
      </w:r>
      <w:r>
        <w:rPr>
          <w:lang w:val="it-IT"/>
        </w:rPr>
        <w:t xml:space="preserve"> </w:t>
      </w:r>
      <w:r w:rsidRPr="00D11DD9">
        <w:rPr>
          <w:lang w:val="it-IT"/>
        </w:rPr>
        <w:t xml:space="preserve">akan </w:t>
      </w:r>
      <w:r>
        <w:rPr>
          <w:lang w:val="it-IT"/>
        </w:rPr>
        <w:t xml:space="preserve">turun sebesar 0,002 </w:t>
      </w:r>
      <w:r w:rsidRPr="00D11DD9">
        <w:rPr>
          <w:lang w:val="it-IT"/>
        </w:rPr>
        <w:t>satuan.</w:t>
      </w:r>
    </w:p>
    <w:p w:rsidR="002371ED" w:rsidRDefault="00F649C2" w:rsidP="00F649C2">
      <w:pPr>
        <w:numPr>
          <w:ilvl w:val="0"/>
          <w:numId w:val="3"/>
        </w:numPr>
        <w:spacing w:line="360" w:lineRule="auto"/>
        <w:rPr>
          <w:lang w:val="it-IT"/>
        </w:rPr>
      </w:pPr>
      <w:r w:rsidRPr="00D11DD9">
        <w:rPr>
          <w:lang w:val="it-IT"/>
        </w:rPr>
        <w:t xml:space="preserve">Apabila </w:t>
      </w:r>
      <w:r>
        <w:rPr>
          <w:i/>
          <w:lang w:val="it-IT"/>
        </w:rPr>
        <w:t>Market to Book Ratios</w:t>
      </w:r>
      <w:r>
        <w:rPr>
          <w:lang w:val="it-IT"/>
        </w:rPr>
        <w:t xml:space="preserve"> (MBR) </w:t>
      </w:r>
      <w:r w:rsidRPr="00D11DD9">
        <w:rPr>
          <w:lang w:val="it-IT"/>
        </w:rPr>
        <w:t xml:space="preserve">meningkat sebesar satu satuan maka </w:t>
      </w:r>
      <w:r>
        <w:rPr>
          <w:lang w:val="it-IT"/>
        </w:rPr>
        <w:t xml:space="preserve">pengaruh terhadap </w:t>
      </w:r>
      <w:r>
        <w:rPr>
          <w:i/>
          <w:lang w:val="it-IT"/>
        </w:rPr>
        <w:t xml:space="preserve">return </w:t>
      </w:r>
      <w:r w:rsidRPr="00AF5C3A">
        <w:rPr>
          <w:lang w:val="it-IT"/>
        </w:rPr>
        <w:t>saham</w:t>
      </w:r>
      <w:r>
        <w:rPr>
          <w:lang w:val="it-IT"/>
        </w:rPr>
        <w:t xml:space="preserve"> </w:t>
      </w:r>
      <w:r w:rsidRPr="00D11DD9">
        <w:rPr>
          <w:lang w:val="it-IT"/>
        </w:rPr>
        <w:t xml:space="preserve">akan </w:t>
      </w:r>
      <w:r>
        <w:rPr>
          <w:lang w:val="it-IT"/>
        </w:rPr>
        <w:t xml:space="preserve">meningkat sebesar 0,00006131 </w:t>
      </w:r>
      <w:r w:rsidRPr="00D11DD9">
        <w:rPr>
          <w:lang w:val="it-IT"/>
        </w:rPr>
        <w:t>satuan</w:t>
      </w:r>
      <w:r>
        <w:rPr>
          <w:lang w:val="it-IT"/>
        </w:rPr>
        <w:t>.</w:t>
      </w:r>
    </w:p>
    <w:p w:rsidR="00F649C2" w:rsidRDefault="00F649C2" w:rsidP="00F649C2">
      <w:pPr>
        <w:ind w:left="720" w:firstLine="720"/>
      </w:pPr>
      <w:r>
        <w:t>Hasil perhitungan uji koefisien korelasi berganda dan uji koefisien determinasi dapat dilihat pada tabel di bawah ini :</w:t>
      </w:r>
    </w:p>
    <w:p w:rsidR="00F649C2" w:rsidRDefault="00F649C2" w:rsidP="00F649C2">
      <w:pPr>
        <w:pStyle w:val="ListParagraph"/>
        <w:spacing w:line="240" w:lineRule="auto"/>
        <w:jc w:val="center"/>
        <w:rPr>
          <w:b/>
          <w:sz w:val="20"/>
        </w:rPr>
      </w:pPr>
      <w:r>
        <w:rPr>
          <w:b/>
          <w:sz w:val="20"/>
        </w:rPr>
        <w:t>Hasil Uji Koefisien Korelasi Berganda dan Koefisien Determinasi</w:t>
      </w:r>
    </w:p>
    <w:tbl>
      <w:tblPr>
        <w:tblW w:w="5842" w:type="dxa"/>
        <w:tblInd w:w="16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19"/>
        <w:gridCol w:w="1087"/>
        <w:gridCol w:w="1469"/>
        <w:gridCol w:w="1469"/>
      </w:tblGrid>
      <w:tr w:rsidR="00F649C2" w:rsidTr="00F649C2">
        <w:trPr>
          <w:cantSplit/>
          <w:tblHeader/>
        </w:trPr>
        <w:tc>
          <w:tcPr>
            <w:tcW w:w="5842" w:type="dxa"/>
            <w:gridSpan w:val="5"/>
            <w:tcBorders>
              <w:top w:val="nil"/>
              <w:left w:val="nil"/>
              <w:bottom w:val="nil"/>
              <w:right w:val="nil"/>
            </w:tcBorders>
            <w:shd w:val="clear" w:color="auto" w:fill="FFFFFF"/>
            <w:vAlign w:val="center"/>
          </w:tcPr>
          <w:p w:rsidR="00F649C2" w:rsidRDefault="00F649C2" w:rsidP="00F649C2">
            <w:pPr>
              <w:spacing w:line="240" w:lineRule="auto"/>
              <w:ind w:left="60" w:right="60"/>
              <w:jc w:val="center"/>
              <w:rPr>
                <w:rFonts w:ascii="Arial" w:hAnsi="Arial" w:cs="Arial"/>
                <w:sz w:val="18"/>
                <w:szCs w:val="18"/>
              </w:rPr>
            </w:pPr>
            <w:r>
              <w:rPr>
                <w:rFonts w:ascii="Arial" w:hAnsi="Arial" w:cs="Arial"/>
                <w:b/>
                <w:bCs/>
                <w:sz w:val="18"/>
                <w:szCs w:val="18"/>
              </w:rPr>
              <w:t>Model Summary</w:t>
            </w:r>
          </w:p>
        </w:tc>
      </w:tr>
      <w:tr w:rsidR="00F649C2" w:rsidTr="00F649C2">
        <w:trPr>
          <w:cantSplit/>
          <w:tblHead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649C2" w:rsidRDefault="00F649C2" w:rsidP="00F649C2">
            <w:pPr>
              <w:spacing w:line="240" w:lineRule="auto"/>
              <w:ind w:left="60" w:right="60"/>
              <w:rPr>
                <w:rFonts w:ascii="Arial" w:hAnsi="Arial" w:cs="Arial"/>
                <w:sz w:val="18"/>
                <w:szCs w:val="18"/>
              </w:rPr>
            </w:pPr>
            <w:r>
              <w:rPr>
                <w:rFonts w:ascii="Arial" w:hAnsi="Arial" w:cs="Arial"/>
                <w:sz w:val="18"/>
                <w:szCs w:val="18"/>
              </w:rPr>
              <w:t>Model</w:t>
            </w:r>
          </w:p>
        </w:tc>
        <w:tc>
          <w:tcPr>
            <w:tcW w:w="1019" w:type="dxa"/>
            <w:tcBorders>
              <w:top w:val="single" w:sz="16" w:space="0" w:color="000000"/>
              <w:left w:val="single" w:sz="16" w:space="0" w:color="000000"/>
              <w:bottom w:val="single" w:sz="16" w:space="0" w:color="000000"/>
            </w:tcBorders>
            <w:shd w:val="clear" w:color="auto" w:fill="FFFFFF"/>
            <w:vAlign w:val="bottom"/>
          </w:tcPr>
          <w:p w:rsidR="00F649C2" w:rsidRDefault="00F649C2" w:rsidP="00F649C2">
            <w:pPr>
              <w:spacing w:line="240" w:lineRule="auto"/>
              <w:ind w:left="60" w:right="60"/>
              <w:jc w:val="center"/>
              <w:rPr>
                <w:rFonts w:ascii="Arial" w:hAnsi="Arial" w:cs="Arial"/>
                <w:sz w:val="18"/>
                <w:szCs w:val="18"/>
              </w:rPr>
            </w:pPr>
            <w:r>
              <w:rPr>
                <w:rFonts w:ascii="Arial" w:hAnsi="Arial" w:cs="Arial"/>
                <w:sz w:val="18"/>
                <w:szCs w:val="18"/>
              </w:rPr>
              <w:t>R</w:t>
            </w:r>
          </w:p>
        </w:tc>
        <w:tc>
          <w:tcPr>
            <w:tcW w:w="1087" w:type="dxa"/>
            <w:tcBorders>
              <w:top w:val="single" w:sz="16" w:space="0" w:color="000000"/>
              <w:bottom w:val="single" w:sz="16" w:space="0" w:color="000000"/>
            </w:tcBorders>
            <w:shd w:val="clear" w:color="auto" w:fill="FFFFFF"/>
            <w:vAlign w:val="bottom"/>
          </w:tcPr>
          <w:p w:rsidR="00F649C2" w:rsidRDefault="00F649C2" w:rsidP="00F649C2">
            <w:pPr>
              <w:spacing w:line="240" w:lineRule="auto"/>
              <w:ind w:left="60" w:right="60"/>
              <w:jc w:val="center"/>
              <w:rPr>
                <w:rFonts w:ascii="Arial" w:hAnsi="Arial" w:cs="Arial"/>
                <w:sz w:val="18"/>
                <w:szCs w:val="18"/>
              </w:rPr>
            </w:pPr>
            <w:r>
              <w:rPr>
                <w:rFonts w:ascii="Arial" w:hAnsi="Arial" w:cs="Arial"/>
                <w:sz w:val="18"/>
                <w:szCs w:val="18"/>
              </w:rPr>
              <w:t>R Square</w:t>
            </w:r>
          </w:p>
        </w:tc>
        <w:tc>
          <w:tcPr>
            <w:tcW w:w="1469" w:type="dxa"/>
            <w:tcBorders>
              <w:top w:val="single" w:sz="16" w:space="0" w:color="000000"/>
              <w:bottom w:val="single" w:sz="16" w:space="0" w:color="000000"/>
            </w:tcBorders>
            <w:shd w:val="clear" w:color="auto" w:fill="FFFFFF"/>
            <w:vAlign w:val="bottom"/>
          </w:tcPr>
          <w:p w:rsidR="00F649C2" w:rsidRDefault="00F649C2" w:rsidP="00F649C2">
            <w:pPr>
              <w:spacing w:line="240" w:lineRule="auto"/>
              <w:ind w:left="60" w:right="60"/>
              <w:jc w:val="center"/>
              <w:rPr>
                <w:rFonts w:ascii="Arial" w:hAnsi="Arial" w:cs="Arial"/>
                <w:sz w:val="18"/>
                <w:szCs w:val="18"/>
              </w:rPr>
            </w:pPr>
            <w:r>
              <w:rPr>
                <w:rFonts w:ascii="Arial" w:hAnsi="Arial" w:cs="Arial"/>
                <w:sz w:val="18"/>
                <w:szCs w:val="18"/>
              </w:rPr>
              <w:t>Adjusted R Square</w:t>
            </w:r>
          </w:p>
        </w:tc>
        <w:tc>
          <w:tcPr>
            <w:tcW w:w="1469" w:type="dxa"/>
            <w:tcBorders>
              <w:top w:val="single" w:sz="16" w:space="0" w:color="000000"/>
              <w:bottom w:val="single" w:sz="16" w:space="0" w:color="000000"/>
              <w:right w:val="single" w:sz="16" w:space="0" w:color="000000"/>
            </w:tcBorders>
            <w:shd w:val="clear" w:color="auto" w:fill="FFFFFF"/>
            <w:vAlign w:val="bottom"/>
          </w:tcPr>
          <w:p w:rsidR="00F649C2" w:rsidRDefault="00F649C2" w:rsidP="00F649C2">
            <w:pPr>
              <w:spacing w:line="240" w:lineRule="auto"/>
              <w:ind w:left="60" w:right="60"/>
              <w:jc w:val="center"/>
              <w:rPr>
                <w:rFonts w:ascii="Arial" w:hAnsi="Arial" w:cs="Arial"/>
                <w:sz w:val="18"/>
                <w:szCs w:val="18"/>
              </w:rPr>
            </w:pPr>
            <w:r>
              <w:rPr>
                <w:rFonts w:ascii="Arial" w:hAnsi="Arial" w:cs="Arial"/>
                <w:sz w:val="18"/>
                <w:szCs w:val="18"/>
              </w:rPr>
              <w:t>Std. Error of the Estimate</w:t>
            </w:r>
          </w:p>
        </w:tc>
      </w:tr>
      <w:tr w:rsidR="00F649C2" w:rsidTr="00F649C2">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F649C2" w:rsidRDefault="00F649C2" w:rsidP="00F649C2">
            <w:pPr>
              <w:spacing w:line="240" w:lineRule="auto"/>
              <w:ind w:left="60" w:right="60"/>
              <w:rPr>
                <w:rFonts w:ascii="Arial" w:hAnsi="Arial" w:cs="Arial"/>
                <w:sz w:val="18"/>
                <w:szCs w:val="18"/>
              </w:rPr>
            </w:pPr>
            <w:r>
              <w:rPr>
                <w:rFonts w:ascii="Arial" w:hAnsi="Arial" w:cs="Arial"/>
                <w:sz w:val="18"/>
                <w:szCs w:val="18"/>
              </w:rPr>
              <w:t>1</w:t>
            </w:r>
          </w:p>
        </w:tc>
        <w:tc>
          <w:tcPr>
            <w:tcW w:w="1019" w:type="dxa"/>
            <w:tcBorders>
              <w:top w:val="single" w:sz="16" w:space="0" w:color="000000"/>
              <w:left w:val="single" w:sz="16" w:space="0" w:color="000000"/>
              <w:bottom w:val="single" w:sz="16" w:space="0" w:color="000000"/>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.147</w:t>
            </w:r>
            <w:r>
              <w:rPr>
                <w:rFonts w:ascii="Arial" w:hAnsi="Arial" w:cs="Arial"/>
                <w:sz w:val="18"/>
                <w:szCs w:val="18"/>
                <w:vertAlign w:val="superscript"/>
              </w:rPr>
              <w:t>a</w:t>
            </w:r>
          </w:p>
        </w:tc>
        <w:tc>
          <w:tcPr>
            <w:tcW w:w="1087" w:type="dxa"/>
            <w:tcBorders>
              <w:top w:val="single" w:sz="16" w:space="0" w:color="000000"/>
              <w:bottom w:val="single" w:sz="16" w:space="0" w:color="000000"/>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.022</w:t>
            </w:r>
          </w:p>
        </w:tc>
        <w:tc>
          <w:tcPr>
            <w:tcW w:w="1469" w:type="dxa"/>
            <w:tcBorders>
              <w:top w:val="single" w:sz="16" w:space="0" w:color="000000"/>
              <w:bottom w:val="single" w:sz="16" w:space="0" w:color="000000"/>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-.027</w:t>
            </w:r>
          </w:p>
        </w:tc>
        <w:tc>
          <w:tcPr>
            <w:tcW w:w="1469" w:type="dxa"/>
            <w:tcBorders>
              <w:top w:val="single" w:sz="16" w:space="0" w:color="000000"/>
              <w:bottom w:val="single" w:sz="16" w:space="0" w:color="000000"/>
              <w:right w:val="single" w:sz="16" w:space="0" w:color="000000"/>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.36181</w:t>
            </w:r>
          </w:p>
        </w:tc>
      </w:tr>
    </w:tbl>
    <w:p w:rsidR="00F649C2" w:rsidRDefault="00F649C2" w:rsidP="00F649C2">
      <w:pPr>
        <w:spacing w:line="240" w:lineRule="auto"/>
        <w:ind w:left="1620" w:right="60"/>
        <w:rPr>
          <w:rFonts w:ascii="Arial" w:hAnsi="Arial" w:cs="Arial"/>
          <w:sz w:val="18"/>
          <w:szCs w:val="18"/>
        </w:rPr>
      </w:pPr>
      <w:r>
        <w:rPr>
          <w:rFonts w:ascii="Arial" w:hAnsi="Arial" w:cs="Arial"/>
          <w:sz w:val="18"/>
          <w:szCs w:val="18"/>
        </w:rPr>
        <w:t>a. Predictors: (Constant), MBR, DER, ROE</w:t>
      </w:r>
    </w:p>
    <w:p w:rsidR="00F649C2" w:rsidRDefault="00F649C2" w:rsidP="00F649C2">
      <w:pPr>
        <w:spacing w:line="240" w:lineRule="auto"/>
        <w:ind w:left="1620"/>
        <w:rPr>
          <w:i/>
        </w:rPr>
      </w:pPr>
      <w:r w:rsidRPr="00F649C2">
        <w:rPr>
          <w:i/>
          <w:sz w:val="20"/>
        </w:rPr>
        <w:t>Sumber : Data Olahan SPSS 19, 2016</w:t>
      </w:r>
    </w:p>
    <w:p w:rsidR="002371ED" w:rsidRDefault="00F649C2" w:rsidP="00F649C2">
      <w:pPr>
        <w:tabs>
          <w:tab w:val="left" w:pos="720"/>
        </w:tabs>
        <w:spacing w:line="360" w:lineRule="auto"/>
        <w:ind w:left="720"/>
      </w:pPr>
      <w:r>
        <w:rPr>
          <w:i/>
        </w:rPr>
        <w:lastRenderedPageBreak/>
        <w:tab/>
      </w:r>
      <w:r>
        <w:t xml:space="preserve">Dari tabel di atas dapat dilihat nilai R (korelasi) yang diperoleh sebesar 0,147. Hal ini berarti bahwa hubungan antara </w:t>
      </w:r>
      <w:r w:rsidRPr="00F649C2">
        <w:rPr>
          <w:i/>
        </w:rPr>
        <w:t xml:space="preserve">Return On </w:t>
      </w:r>
      <w:r w:rsidRPr="009A56DE">
        <w:t>Equity</w:t>
      </w:r>
      <w:r>
        <w:t xml:space="preserve"> (</w:t>
      </w:r>
      <w:r w:rsidRPr="009A56DE">
        <w:t>ROE</w:t>
      </w:r>
      <w:r>
        <w:t xml:space="preserve">), </w:t>
      </w:r>
      <w:r w:rsidRPr="00F649C2">
        <w:rPr>
          <w:i/>
        </w:rPr>
        <w:t xml:space="preserve">Debt to Eqiuty </w:t>
      </w:r>
      <w:r w:rsidRPr="009A56DE">
        <w:t>Ratios</w:t>
      </w:r>
      <w:r>
        <w:t xml:space="preserve"> (DER) dan </w:t>
      </w:r>
      <w:r w:rsidRPr="00F649C2">
        <w:rPr>
          <w:i/>
        </w:rPr>
        <w:t xml:space="preserve">Market to Book Ratios </w:t>
      </w:r>
      <w:r>
        <w:t xml:space="preserve">(MBR) terhadap </w:t>
      </w:r>
      <w:r w:rsidRPr="00F649C2">
        <w:rPr>
          <w:i/>
        </w:rPr>
        <w:t>return</w:t>
      </w:r>
      <w:r>
        <w:t xml:space="preserve"> saham sebesar 0,147.</w:t>
      </w:r>
      <w:r w:rsidRPr="00F649C2">
        <w:t xml:space="preserve"> </w:t>
      </w:r>
      <w:r>
        <w:t>N</w:t>
      </w:r>
      <w:r w:rsidRPr="002360E0">
        <w:t>ilai koefisien determinasi (R</w:t>
      </w:r>
      <w:r w:rsidRPr="00F649C2">
        <w:rPr>
          <w:vertAlign w:val="superscript"/>
        </w:rPr>
        <w:t>2</w:t>
      </w:r>
      <w:r w:rsidRPr="002360E0">
        <w:t xml:space="preserve">) </w:t>
      </w:r>
      <w:r>
        <w:t xml:space="preserve">atau R </w:t>
      </w:r>
      <w:r w:rsidRPr="00F649C2">
        <w:rPr>
          <w:i/>
        </w:rPr>
        <w:t xml:space="preserve">Squre </w:t>
      </w:r>
      <w:r w:rsidRPr="002360E0">
        <w:t>yang diperoleh sebesar 0,</w:t>
      </w:r>
      <w:r w:rsidRPr="00F649C2">
        <w:rPr>
          <w:color w:val="000000"/>
        </w:rPr>
        <w:t>022</w:t>
      </w:r>
      <w:r w:rsidRPr="002360E0">
        <w:t xml:space="preserve">. Hal ini berarti bahwa </w:t>
      </w:r>
      <w:r>
        <w:t>2,2% (1 x 0,022</w:t>
      </w:r>
      <w:r w:rsidRPr="002360E0">
        <w:t xml:space="preserve"> x 100%) </w:t>
      </w:r>
      <w:r>
        <w:t xml:space="preserve">pengaruh terhadap </w:t>
      </w:r>
      <w:r w:rsidRPr="00F649C2">
        <w:rPr>
          <w:i/>
        </w:rPr>
        <w:t xml:space="preserve">return </w:t>
      </w:r>
      <w:r>
        <w:t xml:space="preserve">saham </w:t>
      </w:r>
      <w:r w:rsidRPr="002360E0">
        <w:t xml:space="preserve">dapat dijelaskan oleh </w:t>
      </w:r>
      <w:r>
        <w:t xml:space="preserve">variabel </w:t>
      </w:r>
      <w:r w:rsidRPr="00F649C2">
        <w:rPr>
          <w:i/>
          <w:lang w:val="it-IT"/>
        </w:rPr>
        <w:t>Return On Equity</w:t>
      </w:r>
      <w:r w:rsidRPr="00F649C2">
        <w:rPr>
          <w:lang w:val="it-IT"/>
        </w:rPr>
        <w:t xml:space="preserve"> (ROE), </w:t>
      </w:r>
      <w:r w:rsidRPr="00F649C2">
        <w:rPr>
          <w:i/>
          <w:lang w:val="it-IT"/>
        </w:rPr>
        <w:t xml:space="preserve">Debt to Equity Ratios </w:t>
      </w:r>
      <w:r w:rsidRPr="00F649C2">
        <w:rPr>
          <w:lang w:val="it-IT"/>
        </w:rPr>
        <w:t>(DER) dan</w:t>
      </w:r>
      <w:r w:rsidRPr="00F649C2">
        <w:rPr>
          <w:i/>
          <w:lang w:val="it-IT"/>
        </w:rPr>
        <w:t>Market to Book Ratios</w:t>
      </w:r>
      <w:r w:rsidRPr="00F649C2">
        <w:rPr>
          <w:lang w:val="it-IT"/>
        </w:rPr>
        <w:t xml:space="preserve"> (MBR), </w:t>
      </w:r>
      <w:r w:rsidRPr="00AA6A73">
        <w:t>sedangkan sisanya yaitu sebesar</w:t>
      </w:r>
      <w:r>
        <w:t xml:space="preserve"> 97,8% (1 – 0,978</w:t>
      </w:r>
      <w:r w:rsidRPr="00AA6A73">
        <w:t xml:space="preserve"> x 100%) </w:t>
      </w:r>
      <w:r w:rsidRPr="00F649C2">
        <w:rPr>
          <w:i/>
        </w:rPr>
        <w:t>return</w:t>
      </w:r>
      <w:r>
        <w:t xml:space="preserve"> saham dipengaruhi oleh </w:t>
      </w:r>
      <w:r w:rsidRPr="00AA6A73">
        <w:t xml:space="preserve">variabel-variabel lainnya yang tidak diteliti dalam penelitian ini. </w:t>
      </w:r>
    </w:p>
    <w:p w:rsidR="00F649C2" w:rsidRDefault="00F649C2" w:rsidP="00A036C4">
      <w:pPr>
        <w:pStyle w:val="ListParagraph"/>
        <w:jc w:val="center"/>
        <w:rPr>
          <w:lang w:val="it-IT"/>
        </w:rPr>
      </w:pPr>
      <w:r w:rsidRPr="00AE03A7">
        <w:rPr>
          <w:lang w:val="it-IT"/>
        </w:rPr>
        <w:t>Hasil perhitu</w:t>
      </w:r>
      <w:r>
        <w:rPr>
          <w:lang w:val="it-IT"/>
        </w:rPr>
        <w:t>ngan Uji F dapat dilihat pada t</w:t>
      </w:r>
      <w:r w:rsidRPr="00AE03A7">
        <w:rPr>
          <w:lang w:val="it-IT"/>
        </w:rPr>
        <w:t>abel berikut</w:t>
      </w:r>
      <w:r>
        <w:rPr>
          <w:lang w:val="it-IT"/>
        </w:rPr>
        <w:t xml:space="preserve"> ini</w:t>
      </w:r>
      <w:r w:rsidRPr="00AE03A7">
        <w:rPr>
          <w:lang w:val="it-IT"/>
        </w:rPr>
        <w:t>:</w:t>
      </w:r>
    </w:p>
    <w:p w:rsidR="00F649C2" w:rsidRDefault="00F649C2" w:rsidP="00F649C2">
      <w:pPr>
        <w:pStyle w:val="ListParagraph"/>
        <w:spacing w:line="240" w:lineRule="auto"/>
        <w:jc w:val="center"/>
        <w:rPr>
          <w:b/>
          <w:sz w:val="20"/>
        </w:rPr>
      </w:pPr>
      <w:r>
        <w:rPr>
          <w:b/>
          <w:sz w:val="20"/>
        </w:rPr>
        <w:t xml:space="preserve">        Hasil Uji F</w:t>
      </w:r>
    </w:p>
    <w:tbl>
      <w:tblPr>
        <w:tblW w:w="7918"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47"/>
        <w:gridCol w:w="1469"/>
        <w:gridCol w:w="1019"/>
        <w:gridCol w:w="1410"/>
        <w:gridCol w:w="1020"/>
        <w:gridCol w:w="1020"/>
      </w:tblGrid>
      <w:tr w:rsidR="00F649C2" w:rsidTr="00F649C2">
        <w:trPr>
          <w:cantSplit/>
          <w:tblHeader/>
        </w:trPr>
        <w:tc>
          <w:tcPr>
            <w:tcW w:w="7918" w:type="dxa"/>
            <w:gridSpan w:val="7"/>
            <w:tcBorders>
              <w:top w:val="nil"/>
              <w:left w:val="nil"/>
              <w:bottom w:val="nil"/>
              <w:right w:val="nil"/>
            </w:tcBorders>
            <w:shd w:val="clear" w:color="auto" w:fill="FFFFFF"/>
            <w:vAlign w:val="center"/>
          </w:tcPr>
          <w:p w:rsidR="00F649C2" w:rsidRDefault="00F649C2" w:rsidP="00F649C2">
            <w:pPr>
              <w:spacing w:line="240" w:lineRule="auto"/>
              <w:ind w:left="60" w:right="60"/>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b</w:t>
            </w:r>
          </w:p>
        </w:tc>
      </w:tr>
      <w:tr w:rsidR="00F649C2" w:rsidTr="00F649C2">
        <w:trPr>
          <w:cantSplit/>
          <w:tblHeader/>
        </w:trPr>
        <w:tc>
          <w:tcPr>
            <w:tcW w:w="1980"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F649C2" w:rsidRDefault="00F649C2" w:rsidP="00F649C2">
            <w:pPr>
              <w:spacing w:line="240" w:lineRule="auto"/>
              <w:ind w:left="60" w:right="60"/>
              <w:rPr>
                <w:rFonts w:ascii="Arial" w:hAnsi="Arial" w:cs="Arial"/>
                <w:sz w:val="18"/>
                <w:szCs w:val="18"/>
              </w:rPr>
            </w:pPr>
            <w:r>
              <w:rPr>
                <w:rFonts w:ascii="Arial" w:hAnsi="Arial" w:cs="Arial"/>
                <w:sz w:val="18"/>
                <w:szCs w:val="18"/>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F649C2" w:rsidRDefault="00F649C2" w:rsidP="00F649C2">
            <w:pPr>
              <w:spacing w:line="240" w:lineRule="auto"/>
              <w:ind w:left="60" w:right="60"/>
              <w:jc w:val="center"/>
              <w:rPr>
                <w:rFonts w:ascii="Arial" w:hAnsi="Arial" w:cs="Arial"/>
                <w:sz w:val="18"/>
                <w:szCs w:val="18"/>
              </w:rPr>
            </w:pPr>
            <w:r>
              <w:rPr>
                <w:rFonts w:ascii="Arial" w:hAnsi="Arial" w:cs="Arial"/>
                <w:sz w:val="18"/>
                <w:szCs w:val="18"/>
              </w:rPr>
              <w:t>Sum of Squares</w:t>
            </w:r>
          </w:p>
        </w:tc>
        <w:tc>
          <w:tcPr>
            <w:tcW w:w="1019" w:type="dxa"/>
            <w:tcBorders>
              <w:top w:val="single" w:sz="16" w:space="0" w:color="000000"/>
              <w:bottom w:val="single" w:sz="16" w:space="0" w:color="000000"/>
            </w:tcBorders>
            <w:shd w:val="clear" w:color="auto" w:fill="FFFFFF"/>
            <w:vAlign w:val="bottom"/>
          </w:tcPr>
          <w:p w:rsidR="00F649C2" w:rsidRDefault="00F649C2" w:rsidP="00F649C2">
            <w:pPr>
              <w:spacing w:line="240" w:lineRule="auto"/>
              <w:ind w:left="60" w:right="60"/>
              <w:jc w:val="center"/>
              <w:rPr>
                <w:rFonts w:ascii="Arial" w:hAnsi="Arial" w:cs="Arial"/>
                <w:sz w:val="18"/>
                <w:szCs w:val="18"/>
              </w:rPr>
            </w:pPr>
            <w:r>
              <w:rPr>
                <w:rFonts w:ascii="Arial" w:hAnsi="Arial" w:cs="Arial"/>
                <w:sz w:val="18"/>
                <w:szCs w:val="18"/>
              </w:rPr>
              <w:t>df</w:t>
            </w:r>
          </w:p>
        </w:tc>
        <w:tc>
          <w:tcPr>
            <w:tcW w:w="1410" w:type="dxa"/>
            <w:tcBorders>
              <w:top w:val="single" w:sz="16" w:space="0" w:color="000000"/>
              <w:bottom w:val="single" w:sz="16" w:space="0" w:color="000000"/>
            </w:tcBorders>
            <w:shd w:val="clear" w:color="auto" w:fill="FFFFFF"/>
            <w:vAlign w:val="bottom"/>
          </w:tcPr>
          <w:p w:rsidR="00F649C2" w:rsidRDefault="00F649C2" w:rsidP="00F649C2">
            <w:pPr>
              <w:spacing w:line="240" w:lineRule="auto"/>
              <w:ind w:left="60" w:right="60"/>
              <w:jc w:val="center"/>
              <w:rPr>
                <w:rFonts w:ascii="Arial" w:hAnsi="Arial" w:cs="Arial"/>
                <w:sz w:val="18"/>
                <w:szCs w:val="18"/>
              </w:rPr>
            </w:pPr>
            <w:r>
              <w:rPr>
                <w:rFonts w:ascii="Arial" w:hAnsi="Arial" w:cs="Arial"/>
                <w:sz w:val="18"/>
                <w:szCs w:val="18"/>
              </w:rPr>
              <w:t>Mean Square</w:t>
            </w:r>
          </w:p>
        </w:tc>
        <w:tc>
          <w:tcPr>
            <w:tcW w:w="1020" w:type="dxa"/>
            <w:tcBorders>
              <w:top w:val="single" w:sz="16" w:space="0" w:color="000000"/>
              <w:bottom w:val="single" w:sz="16" w:space="0" w:color="000000"/>
            </w:tcBorders>
            <w:shd w:val="clear" w:color="auto" w:fill="FFFFFF"/>
            <w:vAlign w:val="bottom"/>
          </w:tcPr>
          <w:p w:rsidR="00F649C2" w:rsidRDefault="00F649C2" w:rsidP="00F649C2">
            <w:pPr>
              <w:spacing w:line="240" w:lineRule="auto"/>
              <w:ind w:left="60" w:right="60"/>
              <w:jc w:val="center"/>
              <w:rPr>
                <w:rFonts w:ascii="Arial" w:hAnsi="Arial" w:cs="Arial"/>
                <w:sz w:val="18"/>
                <w:szCs w:val="18"/>
              </w:rPr>
            </w:pPr>
            <w:r>
              <w:rPr>
                <w:rFonts w:ascii="Arial" w:hAnsi="Arial" w:cs="Arial"/>
                <w:sz w:val="18"/>
                <w:szCs w:val="18"/>
              </w:rPr>
              <w:t>F</w:t>
            </w:r>
          </w:p>
        </w:tc>
        <w:tc>
          <w:tcPr>
            <w:tcW w:w="1020" w:type="dxa"/>
            <w:tcBorders>
              <w:top w:val="single" w:sz="16" w:space="0" w:color="000000"/>
              <w:bottom w:val="single" w:sz="16" w:space="0" w:color="000000"/>
              <w:right w:val="single" w:sz="16" w:space="0" w:color="000000"/>
            </w:tcBorders>
            <w:shd w:val="clear" w:color="auto" w:fill="FFFFFF"/>
            <w:vAlign w:val="bottom"/>
          </w:tcPr>
          <w:p w:rsidR="00F649C2" w:rsidRDefault="00F649C2" w:rsidP="00F649C2">
            <w:pPr>
              <w:spacing w:line="240" w:lineRule="auto"/>
              <w:ind w:left="60" w:right="60"/>
              <w:jc w:val="center"/>
              <w:rPr>
                <w:rFonts w:ascii="Arial" w:hAnsi="Arial" w:cs="Arial"/>
                <w:sz w:val="18"/>
                <w:szCs w:val="18"/>
              </w:rPr>
            </w:pPr>
            <w:r>
              <w:rPr>
                <w:rFonts w:ascii="Arial" w:hAnsi="Arial" w:cs="Arial"/>
                <w:sz w:val="18"/>
                <w:szCs w:val="18"/>
              </w:rPr>
              <w:t>Sig.</w:t>
            </w:r>
          </w:p>
        </w:tc>
      </w:tr>
      <w:tr w:rsidR="00F649C2" w:rsidTr="00F649C2">
        <w:trPr>
          <w:cantSplit/>
          <w:tblHead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F649C2" w:rsidRDefault="00F649C2" w:rsidP="00F649C2">
            <w:pPr>
              <w:spacing w:line="240" w:lineRule="auto"/>
              <w:ind w:left="60" w:right="60"/>
              <w:rPr>
                <w:rFonts w:ascii="Arial" w:hAnsi="Arial" w:cs="Arial"/>
                <w:sz w:val="18"/>
                <w:szCs w:val="18"/>
              </w:rPr>
            </w:pPr>
            <w:r>
              <w:rPr>
                <w:rFonts w:ascii="Arial" w:hAnsi="Arial" w:cs="Arial"/>
                <w:sz w:val="18"/>
                <w:szCs w:val="18"/>
              </w:rPr>
              <w:t>1</w:t>
            </w:r>
          </w:p>
        </w:tc>
        <w:tc>
          <w:tcPr>
            <w:tcW w:w="1247" w:type="dxa"/>
            <w:tcBorders>
              <w:top w:val="single" w:sz="16" w:space="0" w:color="000000"/>
              <w:left w:val="nil"/>
              <w:bottom w:val="nil"/>
              <w:right w:val="single" w:sz="16" w:space="0" w:color="000000"/>
            </w:tcBorders>
            <w:shd w:val="clear" w:color="auto" w:fill="FFFFFF"/>
          </w:tcPr>
          <w:p w:rsidR="00F649C2" w:rsidRDefault="00F649C2" w:rsidP="00F649C2">
            <w:pPr>
              <w:spacing w:line="240" w:lineRule="auto"/>
              <w:ind w:left="60" w:right="60"/>
              <w:rPr>
                <w:rFonts w:ascii="Arial" w:hAnsi="Arial" w:cs="Arial"/>
                <w:sz w:val="18"/>
                <w:szCs w:val="18"/>
              </w:rPr>
            </w:pPr>
            <w:r>
              <w:rPr>
                <w:rFonts w:ascii="Arial" w:hAnsi="Arial" w:cs="Arial"/>
                <w:sz w:val="18"/>
                <w:szCs w:val="18"/>
              </w:rPr>
              <w:t>Regression</w:t>
            </w:r>
          </w:p>
        </w:tc>
        <w:tc>
          <w:tcPr>
            <w:tcW w:w="1469" w:type="dxa"/>
            <w:tcBorders>
              <w:top w:val="single" w:sz="16" w:space="0" w:color="000000"/>
              <w:left w:val="single" w:sz="16" w:space="0" w:color="000000"/>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.174</w:t>
            </w:r>
          </w:p>
        </w:tc>
        <w:tc>
          <w:tcPr>
            <w:tcW w:w="1019" w:type="dxa"/>
            <w:tcBorders>
              <w:top w:val="single" w:sz="16" w:space="0" w:color="000000"/>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3</w:t>
            </w:r>
          </w:p>
        </w:tc>
        <w:tc>
          <w:tcPr>
            <w:tcW w:w="1410" w:type="dxa"/>
            <w:tcBorders>
              <w:top w:val="single" w:sz="16" w:space="0" w:color="000000"/>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.058</w:t>
            </w:r>
          </w:p>
        </w:tc>
        <w:tc>
          <w:tcPr>
            <w:tcW w:w="1020" w:type="dxa"/>
            <w:tcBorders>
              <w:top w:val="single" w:sz="16" w:space="0" w:color="000000"/>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.442</w:t>
            </w:r>
          </w:p>
        </w:tc>
        <w:tc>
          <w:tcPr>
            <w:tcW w:w="1020" w:type="dxa"/>
            <w:tcBorders>
              <w:top w:val="single" w:sz="16" w:space="0" w:color="000000"/>
              <w:bottom w:val="nil"/>
              <w:right w:val="single" w:sz="16" w:space="0" w:color="000000"/>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.724</w:t>
            </w:r>
            <w:r>
              <w:rPr>
                <w:rFonts w:ascii="Arial" w:hAnsi="Arial" w:cs="Arial"/>
                <w:sz w:val="18"/>
                <w:szCs w:val="18"/>
                <w:vertAlign w:val="superscript"/>
              </w:rPr>
              <w:t>a</w:t>
            </w:r>
          </w:p>
        </w:tc>
      </w:tr>
      <w:tr w:rsidR="00F649C2" w:rsidTr="00F649C2">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Pr>
          <w:p w:rsidR="00F649C2" w:rsidRDefault="00F649C2" w:rsidP="00F649C2">
            <w:pPr>
              <w:spacing w:line="240" w:lineRule="auto"/>
              <w:rPr>
                <w:rFonts w:ascii="Arial" w:hAnsi="Arial" w:cs="Arial"/>
                <w:sz w:val="18"/>
                <w:szCs w:val="18"/>
              </w:rPr>
            </w:pPr>
          </w:p>
        </w:tc>
        <w:tc>
          <w:tcPr>
            <w:tcW w:w="1247" w:type="dxa"/>
            <w:tcBorders>
              <w:top w:val="nil"/>
              <w:left w:val="nil"/>
              <w:bottom w:val="nil"/>
              <w:right w:val="single" w:sz="16" w:space="0" w:color="000000"/>
            </w:tcBorders>
            <w:shd w:val="clear" w:color="auto" w:fill="FFFFFF"/>
          </w:tcPr>
          <w:p w:rsidR="00F649C2" w:rsidRDefault="00F649C2" w:rsidP="00F649C2">
            <w:pPr>
              <w:spacing w:line="240" w:lineRule="auto"/>
              <w:ind w:left="60" w:right="60"/>
              <w:rPr>
                <w:rFonts w:ascii="Arial" w:hAnsi="Arial" w:cs="Arial"/>
                <w:sz w:val="18"/>
                <w:szCs w:val="18"/>
              </w:rPr>
            </w:pPr>
            <w:r>
              <w:rPr>
                <w:rFonts w:ascii="Arial" w:hAnsi="Arial" w:cs="Arial"/>
                <w:sz w:val="18"/>
                <w:szCs w:val="18"/>
              </w:rPr>
              <w:t>Residual</w:t>
            </w:r>
          </w:p>
        </w:tc>
        <w:tc>
          <w:tcPr>
            <w:tcW w:w="1469" w:type="dxa"/>
            <w:tcBorders>
              <w:top w:val="nil"/>
              <w:left w:val="single" w:sz="16" w:space="0" w:color="000000"/>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7.855</w:t>
            </w:r>
          </w:p>
        </w:tc>
        <w:tc>
          <w:tcPr>
            <w:tcW w:w="1019" w:type="dxa"/>
            <w:tcBorders>
              <w:top w:val="nil"/>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60</w:t>
            </w:r>
          </w:p>
        </w:tc>
        <w:tc>
          <w:tcPr>
            <w:tcW w:w="1410" w:type="dxa"/>
            <w:tcBorders>
              <w:top w:val="nil"/>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.131</w:t>
            </w:r>
          </w:p>
        </w:tc>
        <w:tc>
          <w:tcPr>
            <w:tcW w:w="1020" w:type="dxa"/>
            <w:tcBorders>
              <w:top w:val="nil"/>
              <w:bottom w:val="nil"/>
            </w:tcBorders>
            <w:shd w:val="clear" w:color="auto" w:fill="FFFFFF"/>
            <w:vAlign w:val="center"/>
          </w:tcPr>
          <w:p w:rsidR="00F649C2" w:rsidRDefault="00F649C2" w:rsidP="00F649C2">
            <w:pPr>
              <w:spacing w:line="240" w:lineRule="auto"/>
              <w:jc w:val="center"/>
            </w:pPr>
          </w:p>
        </w:tc>
        <w:tc>
          <w:tcPr>
            <w:tcW w:w="1020" w:type="dxa"/>
            <w:tcBorders>
              <w:top w:val="nil"/>
              <w:bottom w:val="nil"/>
              <w:right w:val="single" w:sz="16" w:space="0" w:color="000000"/>
            </w:tcBorders>
            <w:shd w:val="clear" w:color="auto" w:fill="FFFFFF"/>
            <w:vAlign w:val="center"/>
          </w:tcPr>
          <w:p w:rsidR="00F649C2" w:rsidRDefault="00F649C2" w:rsidP="00F649C2">
            <w:pPr>
              <w:spacing w:line="240" w:lineRule="auto"/>
              <w:jc w:val="center"/>
            </w:pPr>
          </w:p>
        </w:tc>
      </w:tr>
      <w:tr w:rsidR="00F649C2" w:rsidTr="00F649C2">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Pr>
          <w:p w:rsidR="00F649C2" w:rsidRDefault="00F649C2" w:rsidP="00F649C2">
            <w:pPr>
              <w:spacing w:line="240" w:lineRule="auto"/>
            </w:pPr>
          </w:p>
        </w:tc>
        <w:tc>
          <w:tcPr>
            <w:tcW w:w="1247" w:type="dxa"/>
            <w:tcBorders>
              <w:top w:val="nil"/>
              <w:left w:val="nil"/>
              <w:bottom w:val="single" w:sz="16" w:space="0" w:color="000000"/>
              <w:right w:val="single" w:sz="16" w:space="0" w:color="000000"/>
            </w:tcBorders>
            <w:shd w:val="clear" w:color="auto" w:fill="FFFFFF"/>
          </w:tcPr>
          <w:p w:rsidR="00F649C2" w:rsidRDefault="00F649C2" w:rsidP="00F649C2">
            <w:pPr>
              <w:spacing w:line="240" w:lineRule="auto"/>
              <w:ind w:left="60" w:right="60"/>
              <w:rPr>
                <w:rFonts w:ascii="Arial" w:hAnsi="Arial" w:cs="Arial"/>
                <w:sz w:val="18"/>
                <w:szCs w:val="18"/>
              </w:rPr>
            </w:pPr>
            <w:r>
              <w:rPr>
                <w:rFonts w:ascii="Arial" w:hAnsi="Arial" w:cs="Arial"/>
                <w:sz w:val="18"/>
                <w:szCs w:val="18"/>
              </w:rPr>
              <w:t>Total</w:t>
            </w:r>
          </w:p>
        </w:tc>
        <w:tc>
          <w:tcPr>
            <w:tcW w:w="1469" w:type="dxa"/>
            <w:tcBorders>
              <w:top w:val="nil"/>
              <w:left w:val="single" w:sz="16" w:space="0" w:color="000000"/>
              <w:bottom w:val="single" w:sz="16" w:space="0" w:color="000000"/>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8.028</w:t>
            </w:r>
          </w:p>
        </w:tc>
        <w:tc>
          <w:tcPr>
            <w:tcW w:w="1019" w:type="dxa"/>
            <w:tcBorders>
              <w:top w:val="nil"/>
              <w:bottom w:val="single" w:sz="16" w:space="0" w:color="000000"/>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63</w:t>
            </w:r>
          </w:p>
        </w:tc>
        <w:tc>
          <w:tcPr>
            <w:tcW w:w="1410" w:type="dxa"/>
            <w:tcBorders>
              <w:top w:val="nil"/>
              <w:bottom w:val="single" w:sz="16" w:space="0" w:color="000000"/>
            </w:tcBorders>
            <w:shd w:val="clear" w:color="auto" w:fill="FFFFFF"/>
            <w:vAlign w:val="center"/>
          </w:tcPr>
          <w:p w:rsidR="00F649C2" w:rsidRDefault="00F649C2" w:rsidP="00F649C2">
            <w:pPr>
              <w:spacing w:line="240" w:lineRule="auto"/>
              <w:jc w:val="center"/>
            </w:pPr>
          </w:p>
        </w:tc>
        <w:tc>
          <w:tcPr>
            <w:tcW w:w="1020" w:type="dxa"/>
            <w:tcBorders>
              <w:top w:val="nil"/>
              <w:bottom w:val="single" w:sz="16" w:space="0" w:color="000000"/>
            </w:tcBorders>
            <w:shd w:val="clear" w:color="auto" w:fill="FFFFFF"/>
            <w:vAlign w:val="center"/>
          </w:tcPr>
          <w:p w:rsidR="00F649C2" w:rsidRDefault="00F649C2" w:rsidP="00F649C2">
            <w:pPr>
              <w:spacing w:line="240" w:lineRule="auto"/>
              <w:jc w:val="center"/>
            </w:pPr>
          </w:p>
        </w:tc>
        <w:tc>
          <w:tcPr>
            <w:tcW w:w="1020" w:type="dxa"/>
            <w:tcBorders>
              <w:top w:val="nil"/>
              <w:bottom w:val="single" w:sz="16" w:space="0" w:color="000000"/>
              <w:right w:val="single" w:sz="16" w:space="0" w:color="000000"/>
            </w:tcBorders>
            <w:shd w:val="clear" w:color="auto" w:fill="FFFFFF"/>
            <w:vAlign w:val="center"/>
          </w:tcPr>
          <w:p w:rsidR="00F649C2" w:rsidRDefault="00F649C2" w:rsidP="00F649C2">
            <w:pPr>
              <w:spacing w:line="240" w:lineRule="auto"/>
              <w:jc w:val="center"/>
            </w:pPr>
          </w:p>
        </w:tc>
      </w:tr>
      <w:tr w:rsidR="00F649C2" w:rsidTr="00F649C2">
        <w:trPr>
          <w:cantSplit/>
        </w:trPr>
        <w:tc>
          <w:tcPr>
            <w:tcW w:w="7918" w:type="dxa"/>
            <w:gridSpan w:val="7"/>
            <w:tcBorders>
              <w:top w:val="nil"/>
              <w:left w:val="nil"/>
              <w:bottom w:val="nil"/>
              <w:right w:val="nil"/>
            </w:tcBorders>
            <w:shd w:val="clear" w:color="auto" w:fill="FFFFFF"/>
          </w:tcPr>
          <w:p w:rsidR="00F649C2" w:rsidRDefault="00F649C2" w:rsidP="00F649C2">
            <w:pPr>
              <w:spacing w:line="240" w:lineRule="auto"/>
              <w:ind w:left="60" w:right="60"/>
              <w:rPr>
                <w:rFonts w:ascii="Arial" w:hAnsi="Arial" w:cs="Arial"/>
                <w:sz w:val="18"/>
                <w:szCs w:val="18"/>
              </w:rPr>
            </w:pPr>
            <w:r>
              <w:rPr>
                <w:rFonts w:ascii="Arial" w:hAnsi="Arial" w:cs="Arial"/>
                <w:sz w:val="18"/>
                <w:szCs w:val="18"/>
              </w:rPr>
              <w:t>a. Predictors: (Constant), MBR, DER, ROE</w:t>
            </w:r>
          </w:p>
          <w:p w:rsidR="00F649C2" w:rsidRDefault="00F649C2" w:rsidP="00F649C2">
            <w:pPr>
              <w:spacing w:line="240" w:lineRule="auto"/>
              <w:ind w:left="60" w:right="60"/>
              <w:rPr>
                <w:rFonts w:ascii="Arial" w:hAnsi="Arial" w:cs="Arial"/>
                <w:sz w:val="18"/>
                <w:szCs w:val="18"/>
              </w:rPr>
            </w:pPr>
            <w:r>
              <w:rPr>
                <w:rFonts w:ascii="Arial" w:hAnsi="Arial" w:cs="Arial"/>
                <w:sz w:val="18"/>
                <w:szCs w:val="18"/>
              </w:rPr>
              <w:t>b. Dependent Variable: Return</w:t>
            </w:r>
          </w:p>
          <w:p w:rsidR="00F649C2" w:rsidRPr="00B509E5" w:rsidRDefault="00F649C2" w:rsidP="00F649C2">
            <w:pPr>
              <w:spacing w:line="240" w:lineRule="auto"/>
              <w:ind w:left="60" w:right="60"/>
              <w:rPr>
                <w:i/>
                <w:sz w:val="20"/>
                <w:szCs w:val="18"/>
              </w:rPr>
            </w:pPr>
            <w:r>
              <w:rPr>
                <w:i/>
                <w:sz w:val="20"/>
                <w:szCs w:val="18"/>
              </w:rPr>
              <w:t>Sumber : Data Olahan SPSS 19, 2016</w:t>
            </w:r>
          </w:p>
        </w:tc>
      </w:tr>
    </w:tbl>
    <w:p w:rsidR="00F649C2" w:rsidRDefault="00F649C2" w:rsidP="00747C27">
      <w:pPr>
        <w:pStyle w:val="ListParagraph"/>
        <w:spacing w:line="360" w:lineRule="auto"/>
        <w:ind w:firstLine="720"/>
        <w:rPr>
          <w:lang w:val="it-IT"/>
        </w:rPr>
      </w:pPr>
      <w:r w:rsidRPr="003F10F9">
        <w:rPr>
          <w:lang w:val="it-IT"/>
        </w:rPr>
        <w:t xml:space="preserve">Dari </w:t>
      </w:r>
      <w:r>
        <w:rPr>
          <w:lang w:val="it-IT"/>
        </w:rPr>
        <w:t>t</w:t>
      </w:r>
      <w:r w:rsidRPr="003F10F9">
        <w:rPr>
          <w:lang w:val="it-IT"/>
        </w:rPr>
        <w:t>abel di atas dapat diketahui bahwa secara bersama-sama variabel independen</w:t>
      </w:r>
      <w:r>
        <w:rPr>
          <w:lang w:val="it-IT"/>
        </w:rPr>
        <w:t xml:space="preserve">  tidak berpengaruh</w:t>
      </w:r>
      <w:r w:rsidRPr="003F10F9">
        <w:rPr>
          <w:lang w:val="it-IT"/>
        </w:rPr>
        <w:t xml:space="preserve"> signifikan terhadap variabel dependen. Hal ini dapat dibuktikan dari nilai F hitung sebesar </w:t>
      </w:r>
      <w:r>
        <w:rPr>
          <w:lang w:val="it-IT"/>
        </w:rPr>
        <w:t xml:space="preserve">0,442 </w:t>
      </w:r>
      <w:r w:rsidRPr="003F10F9">
        <w:rPr>
          <w:lang w:val="it-IT"/>
        </w:rPr>
        <w:t>serta memiliki nilai signifikansi (</w:t>
      </w:r>
      <w:r w:rsidRPr="003F10F9">
        <w:rPr>
          <w:i/>
          <w:iCs/>
          <w:lang w:val="it-IT"/>
        </w:rPr>
        <w:t>sig</w:t>
      </w:r>
      <w:r w:rsidRPr="003F10F9">
        <w:rPr>
          <w:lang w:val="it-IT"/>
        </w:rPr>
        <w:t>) sebesa</w:t>
      </w:r>
      <w:r>
        <w:rPr>
          <w:lang w:val="it-IT"/>
        </w:rPr>
        <w:t>r 0,724 yang lebih besar</w:t>
      </w:r>
      <w:r w:rsidRPr="003F10F9">
        <w:rPr>
          <w:lang w:val="it-IT"/>
        </w:rPr>
        <w:t xml:space="preserve"> dari 0,05, </w:t>
      </w:r>
      <w:r>
        <w:rPr>
          <w:lang w:val="it-IT"/>
        </w:rPr>
        <w:t xml:space="preserve">artinya </w:t>
      </w:r>
      <w:r w:rsidRPr="003F10F9">
        <w:rPr>
          <w:lang w:val="it-IT"/>
        </w:rPr>
        <w:t>bahwa variabel</w:t>
      </w:r>
      <w:r>
        <w:rPr>
          <w:lang w:val="it-IT"/>
        </w:rPr>
        <w:t xml:space="preserve"> </w:t>
      </w:r>
      <w:r>
        <w:rPr>
          <w:i/>
          <w:lang w:val="it-IT"/>
        </w:rPr>
        <w:t>Return On Equity</w:t>
      </w:r>
      <w:r>
        <w:rPr>
          <w:lang w:val="it-IT"/>
        </w:rPr>
        <w:t xml:space="preserve"> (ROE), </w:t>
      </w:r>
      <w:r>
        <w:rPr>
          <w:i/>
          <w:lang w:val="it-IT"/>
        </w:rPr>
        <w:t>Debt to Equity Ratios</w:t>
      </w:r>
      <w:r>
        <w:rPr>
          <w:lang w:val="it-IT"/>
        </w:rPr>
        <w:t xml:space="preserve"> (DER) dan </w:t>
      </w:r>
      <w:r>
        <w:rPr>
          <w:i/>
          <w:lang w:val="it-IT"/>
        </w:rPr>
        <w:t xml:space="preserve">Market to Book Ratios </w:t>
      </w:r>
      <w:r>
        <w:rPr>
          <w:lang w:val="it-IT"/>
        </w:rPr>
        <w:t xml:space="preserve">(MBR) </w:t>
      </w:r>
      <w:r w:rsidRPr="003F10F9">
        <w:rPr>
          <w:lang w:val="it-IT"/>
        </w:rPr>
        <w:t xml:space="preserve">secara bersama-sama </w:t>
      </w:r>
      <w:r>
        <w:rPr>
          <w:lang w:val="it-IT"/>
        </w:rPr>
        <w:t xml:space="preserve">tidak </w:t>
      </w:r>
      <w:r w:rsidRPr="003F10F9">
        <w:rPr>
          <w:lang w:val="it-IT"/>
        </w:rPr>
        <w:t>berpengaruh</w:t>
      </w:r>
      <w:r>
        <w:rPr>
          <w:lang w:val="it-IT"/>
        </w:rPr>
        <w:t xml:space="preserve"> signifikan</w:t>
      </w:r>
      <w:r w:rsidRPr="003F10F9">
        <w:rPr>
          <w:lang w:val="it-IT"/>
        </w:rPr>
        <w:t xml:space="preserve"> terhadap </w:t>
      </w:r>
      <w:r w:rsidRPr="00441E11">
        <w:rPr>
          <w:i/>
          <w:lang w:val="it-IT"/>
        </w:rPr>
        <w:t>return</w:t>
      </w:r>
      <w:r>
        <w:rPr>
          <w:lang w:val="it-IT"/>
        </w:rPr>
        <w:t xml:space="preserve">  saham.</w:t>
      </w:r>
    </w:p>
    <w:p w:rsidR="00F649C2" w:rsidRPr="00747C27" w:rsidRDefault="00F649C2" w:rsidP="00747C27">
      <w:pPr>
        <w:pStyle w:val="ListParagraph"/>
        <w:spacing w:line="360" w:lineRule="auto"/>
        <w:ind w:firstLine="720"/>
        <w:rPr>
          <w:lang w:val="it-IT"/>
        </w:rPr>
      </w:pPr>
      <w:r w:rsidRPr="00AE03A7">
        <w:rPr>
          <w:lang w:val="it-IT"/>
        </w:rPr>
        <w:t>Hasil perhitu</w:t>
      </w:r>
      <w:r w:rsidR="00A036C4">
        <w:rPr>
          <w:lang w:val="it-IT"/>
        </w:rPr>
        <w:t>ngan Uji t</w:t>
      </w:r>
      <w:r>
        <w:rPr>
          <w:lang w:val="it-IT"/>
        </w:rPr>
        <w:t xml:space="preserve"> dapat dilihat pada t</w:t>
      </w:r>
      <w:r w:rsidRPr="00AE03A7">
        <w:rPr>
          <w:lang w:val="it-IT"/>
        </w:rPr>
        <w:t>abel berikut</w:t>
      </w:r>
      <w:r>
        <w:rPr>
          <w:lang w:val="it-IT"/>
        </w:rPr>
        <w:t xml:space="preserve"> ini</w:t>
      </w:r>
      <w:r w:rsidRPr="00AE03A7">
        <w:rPr>
          <w:lang w:val="it-IT"/>
        </w:rPr>
        <w:t>:</w:t>
      </w:r>
    </w:p>
    <w:p w:rsidR="00F649C2" w:rsidRPr="00E718E7" w:rsidRDefault="00A036C4" w:rsidP="00F649C2">
      <w:pPr>
        <w:spacing w:line="240" w:lineRule="auto"/>
        <w:jc w:val="center"/>
        <w:rPr>
          <w:b/>
          <w:sz w:val="20"/>
        </w:rPr>
      </w:pPr>
      <w:r>
        <w:rPr>
          <w:b/>
          <w:sz w:val="20"/>
        </w:rPr>
        <w:t xml:space="preserve">           </w:t>
      </w:r>
      <w:r w:rsidR="00F649C2" w:rsidRPr="00E718E7">
        <w:rPr>
          <w:b/>
          <w:sz w:val="20"/>
        </w:rPr>
        <w:t>Hasil Uji t</w:t>
      </w:r>
    </w:p>
    <w:tbl>
      <w:tblPr>
        <w:tblW w:w="8637"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177"/>
        <w:gridCol w:w="1469"/>
        <w:gridCol w:w="1018"/>
        <w:gridCol w:w="1019"/>
        <w:gridCol w:w="1181"/>
        <w:gridCol w:w="1019"/>
        <w:gridCol w:w="1019"/>
      </w:tblGrid>
      <w:tr w:rsidR="00F649C2" w:rsidTr="00A036C4">
        <w:trPr>
          <w:cantSplit/>
          <w:tblHeader/>
        </w:trPr>
        <w:tc>
          <w:tcPr>
            <w:tcW w:w="8637" w:type="dxa"/>
            <w:gridSpan w:val="8"/>
            <w:tcBorders>
              <w:top w:val="nil"/>
              <w:left w:val="nil"/>
              <w:bottom w:val="nil"/>
              <w:right w:val="nil"/>
            </w:tcBorders>
            <w:shd w:val="clear" w:color="auto" w:fill="FFFFFF"/>
            <w:vAlign w:val="center"/>
          </w:tcPr>
          <w:p w:rsidR="00F649C2" w:rsidRDefault="00F649C2" w:rsidP="00F649C2">
            <w:pPr>
              <w:spacing w:line="240" w:lineRule="auto"/>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F649C2" w:rsidTr="00A036C4">
        <w:trPr>
          <w:cantSplit/>
          <w:tblHeader/>
        </w:trPr>
        <w:tc>
          <w:tcPr>
            <w:tcW w:w="191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F649C2" w:rsidRDefault="00F649C2" w:rsidP="00F649C2">
            <w:pPr>
              <w:spacing w:line="240" w:lineRule="auto"/>
              <w:ind w:left="60" w:right="60"/>
              <w:rPr>
                <w:rFonts w:ascii="Arial" w:hAnsi="Arial" w:cs="Arial"/>
                <w:sz w:val="18"/>
                <w:szCs w:val="18"/>
              </w:rPr>
            </w:pPr>
            <w:r>
              <w:rPr>
                <w:rFonts w:ascii="Arial" w:hAnsi="Arial" w:cs="Arial"/>
                <w:sz w:val="18"/>
                <w:szCs w:val="18"/>
              </w:rPr>
              <w:t>Model</w:t>
            </w:r>
          </w:p>
        </w:tc>
        <w:tc>
          <w:tcPr>
            <w:tcW w:w="1469" w:type="dxa"/>
            <w:tcBorders>
              <w:top w:val="single" w:sz="16" w:space="0" w:color="000000"/>
              <w:left w:val="single" w:sz="16" w:space="0" w:color="000000"/>
            </w:tcBorders>
            <w:shd w:val="clear" w:color="auto" w:fill="FFFFFF"/>
            <w:vAlign w:val="bottom"/>
          </w:tcPr>
          <w:p w:rsidR="00F649C2" w:rsidRDefault="00F649C2" w:rsidP="00F649C2">
            <w:pPr>
              <w:spacing w:line="240" w:lineRule="auto"/>
              <w:ind w:left="60" w:right="60"/>
              <w:jc w:val="center"/>
              <w:rPr>
                <w:rFonts w:ascii="Arial" w:hAnsi="Arial" w:cs="Arial"/>
                <w:sz w:val="18"/>
                <w:szCs w:val="18"/>
              </w:rPr>
            </w:pPr>
            <w:r>
              <w:rPr>
                <w:rFonts w:ascii="Arial" w:hAnsi="Arial" w:cs="Arial"/>
                <w:sz w:val="18"/>
                <w:szCs w:val="18"/>
              </w:rPr>
              <w:t>Standardized Coefficients</w:t>
            </w:r>
          </w:p>
        </w:tc>
        <w:tc>
          <w:tcPr>
            <w:tcW w:w="1018" w:type="dxa"/>
            <w:vMerge w:val="restart"/>
            <w:tcBorders>
              <w:top w:val="single" w:sz="16" w:space="0" w:color="000000"/>
              <w:bottom w:val="single" w:sz="16" w:space="0" w:color="000000"/>
            </w:tcBorders>
            <w:shd w:val="clear" w:color="auto" w:fill="FFFFFF"/>
            <w:vAlign w:val="bottom"/>
          </w:tcPr>
          <w:p w:rsidR="00F649C2" w:rsidRDefault="00747C27" w:rsidP="00F649C2">
            <w:pPr>
              <w:spacing w:line="240" w:lineRule="auto"/>
              <w:ind w:left="60" w:right="60"/>
              <w:jc w:val="center"/>
              <w:rPr>
                <w:rFonts w:ascii="Arial" w:hAnsi="Arial" w:cs="Arial"/>
                <w:sz w:val="18"/>
                <w:szCs w:val="18"/>
              </w:rPr>
            </w:pPr>
            <w:r>
              <w:rPr>
                <w:rFonts w:ascii="Arial" w:hAnsi="Arial" w:cs="Arial"/>
                <w:sz w:val="18"/>
                <w:szCs w:val="18"/>
              </w:rPr>
              <w:t>T</w:t>
            </w:r>
          </w:p>
        </w:tc>
        <w:tc>
          <w:tcPr>
            <w:tcW w:w="1019" w:type="dxa"/>
            <w:vMerge w:val="restart"/>
            <w:tcBorders>
              <w:top w:val="single" w:sz="16" w:space="0" w:color="000000"/>
              <w:bottom w:val="single" w:sz="16" w:space="0" w:color="000000"/>
            </w:tcBorders>
            <w:shd w:val="clear" w:color="auto" w:fill="FFFFFF"/>
            <w:vAlign w:val="bottom"/>
          </w:tcPr>
          <w:p w:rsidR="00F649C2" w:rsidRDefault="00F649C2" w:rsidP="00F649C2">
            <w:pPr>
              <w:spacing w:line="240" w:lineRule="auto"/>
              <w:ind w:left="60" w:right="60"/>
              <w:jc w:val="center"/>
              <w:rPr>
                <w:rFonts w:ascii="Arial" w:hAnsi="Arial" w:cs="Arial"/>
                <w:sz w:val="18"/>
                <w:szCs w:val="18"/>
              </w:rPr>
            </w:pPr>
            <w:r>
              <w:rPr>
                <w:rFonts w:ascii="Arial" w:hAnsi="Arial" w:cs="Arial"/>
                <w:sz w:val="18"/>
                <w:szCs w:val="18"/>
              </w:rPr>
              <w:t>Sig.</w:t>
            </w:r>
          </w:p>
        </w:tc>
        <w:tc>
          <w:tcPr>
            <w:tcW w:w="3219" w:type="dxa"/>
            <w:gridSpan w:val="3"/>
            <w:tcBorders>
              <w:top w:val="single" w:sz="16" w:space="0" w:color="000000"/>
              <w:right w:val="single" w:sz="16" w:space="0" w:color="000000"/>
            </w:tcBorders>
            <w:shd w:val="clear" w:color="auto" w:fill="FFFFFF"/>
            <w:vAlign w:val="bottom"/>
          </w:tcPr>
          <w:p w:rsidR="00F649C2" w:rsidRDefault="00F649C2" w:rsidP="00F649C2">
            <w:pPr>
              <w:spacing w:line="240" w:lineRule="auto"/>
              <w:ind w:left="60" w:right="60"/>
              <w:jc w:val="center"/>
              <w:rPr>
                <w:rFonts w:ascii="Arial" w:hAnsi="Arial" w:cs="Arial"/>
                <w:sz w:val="18"/>
                <w:szCs w:val="18"/>
              </w:rPr>
            </w:pPr>
            <w:r>
              <w:rPr>
                <w:rFonts w:ascii="Arial" w:hAnsi="Arial" w:cs="Arial"/>
                <w:sz w:val="18"/>
                <w:szCs w:val="18"/>
              </w:rPr>
              <w:t>Correlations</w:t>
            </w:r>
          </w:p>
        </w:tc>
      </w:tr>
      <w:tr w:rsidR="00F649C2" w:rsidTr="00A036C4">
        <w:trPr>
          <w:cantSplit/>
          <w:tblHeader/>
        </w:trPr>
        <w:tc>
          <w:tcPr>
            <w:tcW w:w="191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F649C2" w:rsidRDefault="00F649C2" w:rsidP="00F649C2">
            <w:pPr>
              <w:spacing w:line="240" w:lineRule="auto"/>
              <w:rPr>
                <w:rFonts w:ascii="Arial" w:hAnsi="Arial" w:cs="Arial"/>
                <w:sz w:val="18"/>
                <w:szCs w:val="18"/>
              </w:rPr>
            </w:pPr>
          </w:p>
        </w:tc>
        <w:tc>
          <w:tcPr>
            <w:tcW w:w="1469" w:type="dxa"/>
            <w:tcBorders>
              <w:left w:val="single" w:sz="16" w:space="0" w:color="000000"/>
              <w:bottom w:val="single" w:sz="16" w:space="0" w:color="000000"/>
            </w:tcBorders>
            <w:shd w:val="clear" w:color="auto" w:fill="FFFFFF"/>
            <w:vAlign w:val="bottom"/>
          </w:tcPr>
          <w:p w:rsidR="00F649C2" w:rsidRDefault="00F649C2" w:rsidP="00F649C2">
            <w:pPr>
              <w:spacing w:line="240" w:lineRule="auto"/>
              <w:ind w:left="60" w:right="60"/>
              <w:jc w:val="center"/>
              <w:rPr>
                <w:rFonts w:ascii="Arial" w:hAnsi="Arial" w:cs="Arial"/>
                <w:sz w:val="18"/>
                <w:szCs w:val="18"/>
              </w:rPr>
            </w:pPr>
            <w:r>
              <w:rPr>
                <w:rFonts w:ascii="Arial" w:hAnsi="Arial" w:cs="Arial"/>
                <w:sz w:val="18"/>
                <w:szCs w:val="18"/>
              </w:rPr>
              <w:t>Beta</w:t>
            </w:r>
          </w:p>
        </w:tc>
        <w:tc>
          <w:tcPr>
            <w:tcW w:w="1018" w:type="dxa"/>
            <w:vMerge/>
            <w:tcBorders>
              <w:top w:val="single" w:sz="16" w:space="0" w:color="000000"/>
              <w:bottom w:val="single" w:sz="16" w:space="0" w:color="000000"/>
            </w:tcBorders>
            <w:shd w:val="clear" w:color="auto" w:fill="FFFFFF"/>
            <w:vAlign w:val="bottom"/>
          </w:tcPr>
          <w:p w:rsidR="00F649C2" w:rsidRDefault="00F649C2" w:rsidP="00F649C2">
            <w:pPr>
              <w:spacing w:line="240" w:lineRule="auto"/>
              <w:rPr>
                <w:rFonts w:ascii="Arial" w:hAnsi="Arial" w:cs="Arial"/>
                <w:sz w:val="18"/>
                <w:szCs w:val="18"/>
              </w:rPr>
            </w:pPr>
          </w:p>
        </w:tc>
        <w:tc>
          <w:tcPr>
            <w:tcW w:w="1019" w:type="dxa"/>
            <w:vMerge/>
            <w:tcBorders>
              <w:top w:val="single" w:sz="16" w:space="0" w:color="000000"/>
              <w:bottom w:val="single" w:sz="16" w:space="0" w:color="000000"/>
            </w:tcBorders>
            <w:shd w:val="clear" w:color="auto" w:fill="FFFFFF"/>
            <w:vAlign w:val="bottom"/>
          </w:tcPr>
          <w:p w:rsidR="00F649C2" w:rsidRDefault="00F649C2" w:rsidP="00F649C2">
            <w:pPr>
              <w:spacing w:line="240" w:lineRule="auto"/>
              <w:rPr>
                <w:rFonts w:ascii="Arial" w:hAnsi="Arial" w:cs="Arial"/>
                <w:sz w:val="18"/>
                <w:szCs w:val="18"/>
              </w:rPr>
            </w:pPr>
          </w:p>
        </w:tc>
        <w:tc>
          <w:tcPr>
            <w:tcW w:w="1181" w:type="dxa"/>
            <w:tcBorders>
              <w:bottom w:val="single" w:sz="16" w:space="0" w:color="000000"/>
            </w:tcBorders>
            <w:shd w:val="clear" w:color="auto" w:fill="FFFFFF"/>
            <w:vAlign w:val="bottom"/>
          </w:tcPr>
          <w:p w:rsidR="00F649C2" w:rsidRDefault="00F649C2" w:rsidP="00F649C2">
            <w:pPr>
              <w:spacing w:line="240" w:lineRule="auto"/>
              <w:ind w:left="60" w:right="60"/>
              <w:jc w:val="center"/>
              <w:rPr>
                <w:rFonts w:ascii="Arial" w:hAnsi="Arial" w:cs="Arial"/>
                <w:sz w:val="18"/>
                <w:szCs w:val="18"/>
              </w:rPr>
            </w:pPr>
            <w:r>
              <w:rPr>
                <w:rFonts w:ascii="Arial" w:hAnsi="Arial" w:cs="Arial"/>
                <w:sz w:val="18"/>
                <w:szCs w:val="18"/>
              </w:rPr>
              <w:t>Zero-order</w:t>
            </w:r>
          </w:p>
        </w:tc>
        <w:tc>
          <w:tcPr>
            <w:tcW w:w="1019" w:type="dxa"/>
            <w:tcBorders>
              <w:bottom w:val="single" w:sz="16" w:space="0" w:color="000000"/>
            </w:tcBorders>
            <w:shd w:val="clear" w:color="auto" w:fill="FFFFFF"/>
            <w:vAlign w:val="bottom"/>
          </w:tcPr>
          <w:p w:rsidR="00F649C2" w:rsidRDefault="00F649C2" w:rsidP="00F649C2">
            <w:pPr>
              <w:spacing w:line="240" w:lineRule="auto"/>
              <w:ind w:left="60" w:right="60"/>
              <w:jc w:val="center"/>
              <w:rPr>
                <w:rFonts w:ascii="Arial" w:hAnsi="Arial" w:cs="Arial"/>
                <w:sz w:val="18"/>
                <w:szCs w:val="18"/>
              </w:rPr>
            </w:pPr>
            <w:r>
              <w:rPr>
                <w:rFonts w:ascii="Arial" w:hAnsi="Arial" w:cs="Arial"/>
                <w:sz w:val="18"/>
                <w:szCs w:val="18"/>
              </w:rPr>
              <w:t>Partial</w:t>
            </w:r>
          </w:p>
        </w:tc>
        <w:tc>
          <w:tcPr>
            <w:tcW w:w="1019" w:type="dxa"/>
            <w:tcBorders>
              <w:bottom w:val="single" w:sz="16" w:space="0" w:color="000000"/>
              <w:right w:val="single" w:sz="16" w:space="0" w:color="000000"/>
            </w:tcBorders>
            <w:shd w:val="clear" w:color="auto" w:fill="FFFFFF"/>
            <w:vAlign w:val="bottom"/>
          </w:tcPr>
          <w:p w:rsidR="00F649C2" w:rsidRDefault="00F649C2" w:rsidP="00F649C2">
            <w:pPr>
              <w:spacing w:line="240" w:lineRule="auto"/>
              <w:ind w:left="60" w:right="60"/>
              <w:jc w:val="center"/>
              <w:rPr>
                <w:rFonts w:ascii="Arial" w:hAnsi="Arial" w:cs="Arial"/>
                <w:sz w:val="18"/>
                <w:szCs w:val="18"/>
              </w:rPr>
            </w:pPr>
            <w:r>
              <w:rPr>
                <w:rFonts w:ascii="Arial" w:hAnsi="Arial" w:cs="Arial"/>
                <w:sz w:val="18"/>
                <w:szCs w:val="18"/>
              </w:rPr>
              <w:t>Part</w:t>
            </w:r>
          </w:p>
        </w:tc>
      </w:tr>
      <w:tr w:rsidR="00F649C2" w:rsidTr="00A036C4">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F649C2" w:rsidRDefault="00F649C2" w:rsidP="00F649C2">
            <w:pPr>
              <w:spacing w:line="240" w:lineRule="auto"/>
              <w:ind w:left="60" w:right="60"/>
              <w:rPr>
                <w:rFonts w:ascii="Arial" w:hAnsi="Arial" w:cs="Arial"/>
                <w:sz w:val="18"/>
                <w:szCs w:val="18"/>
              </w:rPr>
            </w:pPr>
            <w:r>
              <w:rPr>
                <w:rFonts w:ascii="Arial" w:hAnsi="Arial" w:cs="Arial"/>
                <w:sz w:val="18"/>
                <w:szCs w:val="18"/>
              </w:rPr>
              <w:t>1</w:t>
            </w:r>
          </w:p>
        </w:tc>
        <w:tc>
          <w:tcPr>
            <w:tcW w:w="1177" w:type="dxa"/>
            <w:tcBorders>
              <w:top w:val="single" w:sz="16" w:space="0" w:color="000000"/>
              <w:left w:val="nil"/>
              <w:bottom w:val="nil"/>
              <w:right w:val="single" w:sz="16" w:space="0" w:color="000000"/>
            </w:tcBorders>
            <w:shd w:val="clear" w:color="auto" w:fill="FFFFFF"/>
          </w:tcPr>
          <w:p w:rsidR="00F649C2" w:rsidRDefault="00F649C2" w:rsidP="00F649C2">
            <w:pPr>
              <w:spacing w:line="240" w:lineRule="auto"/>
              <w:ind w:left="60" w:right="60"/>
              <w:rPr>
                <w:rFonts w:ascii="Arial" w:hAnsi="Arial" w:cs="Arial"/>
                <w:sz w:val="18"/>
                <w:szCs w:val="18"/>
              </w:rPr>
            </w:pPr>
            <w:r>
              <w:rPr>
                <w:rFonts w:ascii="Arial" w:hAnsi="Arial" w:cs="Arial"/>
                <w:sz w:val="18"/>
                <w:szCs w:val="18"/>
              </w:rPr>
              <w:t>(Constant)</w:t>
            </w:r>
          </w:p>
        </w:tc>
        <w:tc>
          <w:tcPr>
            <w:tcW w:w="1469" w:type="dxa"/>
            <w:tcBorders>
              <w:top w:val="single" w:sz="16" w:space="0" w:color="000000"/>
              <w:left w:val="single" w:sz="16" w:space="0" w:color="000000"/>
              <w:bottom w:val="nil"/>
            </w:tcBorders>
            <w:shd w:val="clear" w:color="auto" w:fill="FFFFFF"/>
            <w:vAlign w:val="center"/>
          </w:tcPr>
          <w:p w:rsidR="00F649C2" w:rsidRDefault="00F649C2" w:rsidP="00F649C2">
            <w:pPr>
              <w:spacing w:line="240" w:lineRule="auto"/>
              <w:jc w:val="center"/>
            </w:pPr>
          </w:p>
        </w:tc>
        <w:tc>
          <w:tcPr>
            <w:tcW w:w="1018" w:type="dxa"/>
            <w:tcBorders>
              <w:top w:val="single" w:sz="16" w:space="0" w:color="000000"/>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-4.364</w:t>
            </w:r>
          </w:p>
        </w:tc>
        <w:tc>
          <w:tcPr>
            <w:tcW w:w="1019" w:type="dxa"/>
            <w:tcBorders>
              <w:top w:val="single" w:sz="16" w:space="0" w:color="000000"/>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.000</w:t>
            </w:r>
          </w:p>
        </w:tc>
        <w:tc>
          <w:tcPr>
            <w:tcW w:w="1181" w:type="dxa"/>
            <w:tcBorders>
              <w:top w:val="single" w:sz="16" w:space="0" w:color="000000"/>
              <w:bottom w:val="nil"/>
            </w:tcBorders>
            <w:shd w:val="clear" w:color="auto" w:fill="FFFFFF"/>
            <w:vAlign w:val="center"/>
          </w:tcPr>
          <w:p w:rsidR="00F649C2" w:rsidRDefault="00F649C2" w:rsidP="00F649C2">
            <w:pPr>
              <w:spacing w:line="240" w:lineRule="auto"/>
              <w:jc w:val="center"/>
            </w:pPr>
          </w:p>
        </w:tc>
        <w:tc>
          <w:tcPr>
            <w:tcW w:w="1019" w:type="dxa"/>
            <w:tcBorders>
              <w:top w:val="single" w:sz="16" w:space="0" w:color="000000"/>
              <w:bottom w:val="nil"/>
            </w:tcBorders>
            <w:shd w:val="clear" w:color="auto" w:fill="FFFFFF"/>
            <w:vAlign w:val="center"/>
          </w:tcPr>
          <w:p w:rsidR="00F649C2" w:rsidRDefault="00F649C2" w:rsidP="00F649C2">
            <w:pPr>
              <w:spacing w:line="240" w:lineRule="auto"/>
              <w:jc w:val="center"/>
            </w:pPr>
          </w:p>
        </w:tc>
        <w:tc>
          <w:tcPr>
            <w:tcW w:w="1019" w:type="dxa"/>
            <w:tcBorders>
              <w:top w:val="single" w:sz="16" w:space="0" w:color="000000"/>
              <w:bottom w:val="nil"/>
              <w:right w:val="single" w:sz="16" w:space="0" w:color="000000"/>
            </w:tcBorders>
            <w:shd w:val="clear" w:color="auto" w:fill="FFFFFF"/>
            <w:vAlign w:val="center"/>
          </w:tcPr>
          <w:p w:rsidR="00F649C2" w:rsidRDefault="00F649C2" w:rsidP="00F649C2">
            <w:pPr>
              <w:spacing w:line="240" w:lineRule="auto"/>
              <w:jc w:val="center"/>
            </w:pPr>
          </w:p>
        </w:tc>
      </w:tr>
      <w:tr w:rsidR="00F649C2" w:rsidTr="00A036C4">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F649C2" w:rsidRDefault="00F649C2" w:rsidP="00F649C2">
            <w:pPr>
              <w:spacing w:line="240" w:lineRule="auto"/>
            </w:pPr>
          </w:p>
        </w:tc>
        <w:tc>
          <w:tcPr>
            <w:tcW w:w="1177" w:type="dxa"/>
            <w:tcBorders>
              <w:top w:val="nil"/>
              <w:left w:val="nil"/>
              <w:bottom w:val="nil"/>
              <w:right w:val="single" w:sz="16" w:space="0" w:color="000000"/>
            </w:tcBorders>
            <w:shd w:val="clear" w:color="auto" w:fill="FFFFFF"/>
          </w:tcPr>
          <w:p w:rsidR="00F649C2" w:rsidRDefault="00F649C2" w:rsidP="00F649C2">
            <w:pPr>
              <w:spacing w:line="240" w:lineRule="auto"/>
              <w:ind w:left="60" w:right="60"/>
              <w:rPr>
                <w:rFonts w:ascii="Arial" w:hAnsi="Arial" w:cs="Arial"/>
                <w:sz w:val="18"/>
                <w:szCs w:val="18"/>
              </w:rPr>
            </w:pPr>
            <w:r>
              <w:rPr>
                <w:rFonts w:ascii="Arial" w:hAnsi="Arial" w:cs="Arial"/>
                <w:sz w:val="18"/>
                <w:szCs w:val="18"/>
              </w:rPr>
              <w:t>ROE</w:t>
            </w:r>
          </w:p>
        </w:tc>
        <w:tc>
          <w:tcPr>
            <w:tcW w:w="1469" w:type="dxa"/>
            <w:tcBorders>
              <w:top w:val="nil"/>
              <w:left w:val="single" w:sz="16" w:space="0" w:color="000000"/>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-.025</w:t>
            </w:r>
          </w:p>
        </w:tc>
        <w:tc>
          <w:tcPr>
            <w:tcW w:w="1018" w:type="dxa"/>
            <w:tcBorders>
              <w:top w:val="nil"/>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-.050</w:t>
            </w:r>
          </w:p>
        </w:tc>
        <w:tc>
          <w:tcPr>
            <w:tcW w:w="1019" w:type="dxa"/>
            <w:tcBorders>
              <w:top w:val="nil"/>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.961</w:t>
            </w:r>
          </w:p>
        </w:tc>
        <w:tc>
          <w:tcPr>
            <w:tcW w:w="1181" w:type="dxa"/>
            <w:tcBorders>
              <w:top w:val="nil"/>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.116</w:t>
            </w:r>
          </w:p>
        </w:tc>
        <w:tc>
          <w:tcPr>
            <w:tcW w:w="1019" w:type="dxa"/>
            <w:tcBorders>
              <w:top w:val="nil"/>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-.006</w:t>
            </w:r>
          </w:p>
        </w:tc>
        <w:tc>
          <w:tcPr>
            <w:tcW w:w="1019" w:type="dxa"/>
            <w:tcBorders>
              <w:top w:val="nil"/>
              <w:bottom w:val="nil"/>
              <w:right w:val="single" w:sz="16" w:space="0" w:color="000000"/>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-.006</w:t>
            </w:r>
          </w:p>
        </w:tc>
      </w:tr>
      <w:tr w:rsidR="00F649C2" w:rsidTr="00A036C4">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F649C2" w:rsidRDefault="00F649C2" w:rsidP="00F649C2">
            <w:pPr>
              <w:spacing w:line="240" w:lineRule="auto"/>
              <w:rPr>
                <w:rFonts w:ascii="Arial" w:hAnsi="Arial" w:cs="Arial"/>
                <w:sz w:val="18"/>
                <w:szCs w:val="18"/>
              </w:rPr>
            </w:pPr>
          </w:p>
        </w:tc>
        <w:tc>
          <w:tcPr>
            <w:tcW w:w="1177" w:type="dxa"/>
            <w:tcBorders>
              <w:top w:val="nil"/>
              <w:left w:val="nil"/>
              <w:bottom w:val="nil"/>
              <w:right w:val="single" w:sz="16" w:space="0" w:color="000000"/>
            </w:tcBorders>
            <w:shd w:val="clear" w:color="auto" w:fill="FFFFFF"/>
          </w:tcPr>
          <w:p w:rsidR="00F649C2" w:rsidRDefault="00F649C2" w:rsidP="00F649C2">
            <w:pPr>
              <w:spacing w:line="240" w:lineRule="auto"/>
              <w:ind w:left="60" w:right="60"/>
              <w:rPr>
                <w:rFonts w:ascii="Arial" w:hAnsi="Arial" w:cs="Arial"/>
                <w:sz w:val="18"/>
                <w:szCs w:val="18"/>
              </w:rPr>
            </w:pPr>
            <w:r>
              <w:rPr>
                <w:rFonts w:ascii="Arial" w:hAnsi="Arial" w:cs="Arial"/>
                <w:sz w:val="18"/>
                <w:szCs w:val="18"/>
              </w:rPr>
              <w:t>DER</w:t>
            </w:r>
          </w:p>
        </w:tc>
        <w:tc>
          <w:tcPr>
            <w:tcW w:w="1469" w:type="dxa"/>
            <w:tcBorders>
              <w:top w:val="nil"/>
              <w:left w:val="single" w:sz="16" w:space="0" w:color="000000"/>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-.118</w:t>
            </w:r>
          </w:p>
        </w:tc>
        <w:tc>
          <w:tcPr>
            <w:tcW w:w="1018" w:type="dxa"/>
            <w:tcBorders>
              <w:top w:val="nil"/>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-.710</w:t>
            </w:r>
          </w:p>
        </w:tc>
        <w:tc>
          <w:tcPr>
            <w:tcW w:w="1019" w:type="dxa"/>
            <w:tcBorders>
              <w:top w:val="nil"/>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.480</w:t>
            </w:r>
          </w:p>
        </w:tc>
        <w:tc>
          <w:tcPr>
            <w:tcW w:w="1181" w:type="dxa"/>
            <w:tcBorders>
              <w:top w:val="nil"/>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-.016</w:t>
            </w:r>
          </w:p>
        </w:tc>
        <w:tc>
          <w:tcPr>
            <w:tcW w:w="1019" w:type="dxa"/>
            <w:tcBorders>
              <w:top w:val="nil"/>
              <w:bottom w:val="nil"/>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-.091</w:t>
            </w:r>
          </w:p>
        </w:tc>
        <w:tc>
          <w:tcPr>
            <w:tcW w:w="1019" w:type="dxa"/>
            <w:tcBorders>
              <w:top w:val="nil"/>
              <w:bottom w:val="nil"/>
              <w:right w:val="single" w:sz="16" w:space="0" w:color="000000"/>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-.091</w:t>
            </w:r>
          </w:p>
        </w:tc>
      </w:tr>
      <w:tr w:rsidR="00F649C2" w:rsidTr="00A036C4">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F649C2" w:rsidRDefault="00F649C2" w:rsidP="00F649C2">
            <w:pPr>
              <w:spacing w:line="240" w:lineRule="auto"/>
              <w:rPr>
                <w:rFonts w:ascii="Arial" w:hAnsi="Arial" w:cs="Arial"/>
                <w:sz w:val="18"/>
                <w:szCs w:val="18"/>
              </w:rPr>
            </w:pPr>
          </w:p>
        </w:tc>
        <w:tc>
          <w:tcPr>
            <w:tcW w:w="1177" w:type="dxa"/>
            <w:tcBorders>
              <w:top w:val="nil"/>
              <w:left w:val="nil"/>
              <w:bottom w:val="single" w:sz="16" w:space="0" w:color="000000"/>
              <w:right w:val="single" w:sz="16" w:space="0" w:color="000000"/>
            </w:tcBorders>
            <w:shd w:val="clear" w:color="auto" w:fill="FFFFFF"/>
          </w:tcPr>
          <w:p w:rsidR="00F649C2" w:rsidRDefault="00F649C2" w:rsidP="00F649C2">
            <w:pPr>
              <w:spacing w:line="240" w:lineRule="auto"/>
              <w:ind w:left="60" w:right="60"/>
              <w:rPr>
                <w:rFonts w:ascii="Arial" w:hAnsi="Arial" w:cs="Arial"/>
                <w:sz w:val="18"/>
                <w:szCs w:val="18"/>
              </w:rPr>
            </w:pPr>
            <w:r>
              <w:rPr>
                <w:rFonts w:ascii="Arial" w:hAnsi="Arial" w:cs="Arial"/>
                <w:sz w:val="18"/>
                <w:szCs w:val="18"/>
              </w:rPr>
              <w:t>MBR</w:t>
            </w:r>
          </w:p>
        </w:tc>
        <w:tc>
          <w:tcPr>
            <w:tcW w:w="1469" w:type="dxa"/>
            <w:tcBorders>
              <w:top w:val="nil"/>
              <w:left w:val="single" w:sz="16" w:space="0" w:color="000000"/>
              <w:bottom w:val="single" w:sz="16" w:space="0" w:color="000000"/>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.202</w:t>
            </w:r>
          </w:p>
        </w:tc>
        <w:tc>
          <w:tcPr>
            <w:tcW w:w="1018" w:type="dxa"/>
            <w:tcBorders>
              <w:top w:val="nil"/>
              <w:bottom w:val="single" w:sz="16" w:space="0" w:color="000000"/>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.379</w:t>
            </w:r>
          </w:p>
        </w:tc>
        <w:tc>
          <w:tcPr>
            <w:tcW w:w="1019" w:type="dxa"/>
            <w:tcBorders>
              <w:top w:val="nil"/>
              <w:bottom w:val="single" w:sz="16" w:space="0" w:color="000000"/>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.706</w:t>
            </w:r>
          </w:p>
        </w:tc>
        <w:tc>
          <w:tcPr>
            <w:tcW w:w="1181" w:type="dxa"/>
            <w:tcBorders>
              <w:top w:val="nil"/>
              <w:bottom w:val="single" w:sz="16" w:space="0" w:color="000000"/>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.112</w:t>
            </w:r>
          </w:p>
        </w:tc>
        <w:tc>
          <w:tcPr>
            <w:tcW w:w="1019" w:type="dxa"/>
            <w:tcBorders>
              <w:top w:val="nil"/>
              <w:bottom w:val="single" w:sz="16" w:space="0" w:color="000000"/>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.049</w:t>
            </w:r>
          </w:p>
        </w:tc>
        <w:tc>
          <w:tcPr>
            <w:tcW w:w="1019" w:type="dxa"/>
            <w:tcBorders>
              <w:top w:val="nil"/>
              <w:bottom w:val="single" w:sz="16" w:space="0" w:color="000000"/>
              <w:right w:val="single" w:sz="16" w:space="0" w:color="000000"/>
            </w:tcBorders>
            <w:shd w:val="clear" w:color="auto" w:fill="FFFFFF"/>
          </w:tcPr>
          <w:p w:rsidR="00F649C2" w:rsidRDefault="00F649C2" w:rsidP="00F649C2">
            <w:pPr>
              <w:spacing w:line="240" w:lineRule="auto"/>
              <w:ind w:left="60" w:right="60"/>
              <w:jc w:val="right"/>
              <w:rPr>
                <w:rFonts w:ascii="Arial" w:hAnsi="Arial" w:cs="Arial"/>
                <w:sz w:val="18"/>
                <w:szCs w:val="18"/>
              </w:rPr>
            </w:pPr>
            <w:r>
              <w:rPr>
                <w:rFonts w:ascii="Arial" w:hAnsi="Arial" w:cs="Arial"/>
                <w:sz w:val="18"/>
                <w:szCs w:val="18"/>
              </w:rPr>
              <w:t>.048</w:t>
            </w:r>
          </w:p>
        </w:tc>
      </w:tr>
    </w:tbl>
    <w:p w:rsidR="00747C27" w:rsidRPr="00747C27" w:rsidRDefault="00747C27" w:rsidP="00A036C4">
      <w:pPr>
        <w:spacing w:line="360" w:lineRule="auto"/>
        <w:ind w:left="720" w:firstLine="720"/>
        <w:rPr>
          <w:i/>
          <w:sz w:val="20"/>
        </w:rPr>
      </w:pPr>
      <w:r>
        <w:lastRenderedPageBreak/>
        <w:t>Dari t</w:t>
      </w:r>
      <w:r w:rsidRPr="006A2469">
        <w:t xml:space="preserve">abel di atas </w:t>
      </w:r>
      <w:r>
        <w:t xml:space="preserve">dapat dilihat bahwa </w:t>
      </w:r>
      <w:r w:rsidRPr="006A2469">
        <w:t>pengaruh dari masing-masing vari</w:t>
      </w:r>
      <w:r w:rsidRPr="00E827FA">
        <w:t xml:space="preserve">abel </w:t>
      </w:r>
      <w:r w:rsidRPr="00747C27">
        <w:rPr>
          <w:i/>
          <w:lang w:val="it-IT"/>
        </w:rPr>
        <w:t>Return On Equity</w:t>
      </w:r>
      <w:r w:rsidRPr="00747C27">
        <w:rPr>
          <w:lang w:val="it-IT"/>
        </w:rPr>
        <w:t xml:space="preserve"> (ROE), </w:t>
      </w:r>
      <w:r w:rsidRPr="00747C27">
        <w:rPr>
          <w:i/>
          <w:lang w:val="it-IT"/>
        </w:rPr>
        <w:t>Debt to Equity Ratios</w:t>
      </w:r>
      <w:r w:rsidRPr="00747C27">
        <w:rPr>
          <w:lang w:val="it-IT"/>
        </w:rPr>
        <w:t xml:space="preserve"> (DER) dan </w:t>
      </w:r>
      <w:r w:rsidRPr="00747C27">
        <w:rPr>
          <w:i/>
          <w:lang w:val="it-IT"/>
        </w:rPr>
        <w:t xml:space="preserve">Market to Book Ratios </w:t>
      </w:r>
      <w:r w:rsidRPr="00747C27">
        <w:rPr>
          <w:lang w:val="it-IT"/>
        </w:rPr>
        <w:t xml:space="preserve">(MBR) </w:t>
      </w:r>
      <w:r w:rsidRPr="00E827FA">
        <w:t xml:space="preserve">terhadap </w:t>
      </w:r>
      <w:r w:rsidRPr="00747C27">
        <w:rPr>
          <w:i/>
        </w:rPr>
        <w:t xml:space="preserve">return </w:t>
      </w:r>
      <w:r w:rsidRPr="00E827FA">
        <w:t xml:space="preserve">saham dapat dilihat dari arah tanda dan tingkat signifikan (probabilitas). </w:t>
      </w:r>
      <w:r w:rsidRPr="00747C27">
        <w:rPr>
          <w:lang w:val="it-IT"/>
        </w:rPr>
        <w:t>Ketiga variabel yakni</w:t>
      </w:r>
      <w:r w:rsidRPr="00747C27">
        <w:rPr>
          <w:i/>
          <w:lang w:val="it-IT"/>
        </w:rPr>
        <w:t xml:space="preserve"> Return On Equity</w:t>
      </w:r>
      <w:r w:rsidRPr="00747C27">
        <w:rPr>
          <w:lang w:val="it-IT"/>
        </w:rPr>
        <w:t xml:space="preserve"> (ROE), </w:t>
      </w:r>
      <w:r w:rsidRPr="00747C27">
        <w:rPr>
          <w:i/>
          <w:lang w:val="it-IT"/>
        </w:rPr>
        <w:t>Debt to Equity Ratios</w:t>
      </w:r>
      <w:r w:rsidRPr="00747C27">
        <w:rPr>
          <w:lang w:val="it-IT"/>
        </w:rPr>
        <w:t xml:space="preserve"> (DER) dan </w:t>
      </w:r>
      <w:r w:rsidRPr="00747C27">
        <w:rPr>
          <w:i/>
          <w:lang w:val="it-IT"/>
        </w:rPr>
        <w:t xml:space="preserve">Market to Book Ratios </w:t>
      </w:r>
      <w:r w:rsidRPr="00747C27">
        <w:rPr>
          <w:lang w:val="it-IT"/>
        </w:rPr>
        <w:t xml:space="preserve">(MBR) </w:t>
      </w:r>
      <w:r w:rsidRPr="00E827FA">
        <w:t>mempunyai</w:t>
      </w:r>
      <w:r w:rsidRPr="00747C27">
        <w:rPr>
          <w:lang w:val="it-IT"/>
        </w:rPr>
        <w:t xml:space="preserve"> tanda positif, dan memiliki nilai signifikan lebih besar dari 0,05. </w:t>
      </w:r>
      <w:r w:rsidRPr="00E827FA">
        <w:t>Hal ini dapat diuraikan sebagai berikut:</w:t>
      </w:r>
    </w:p>
    <w:p w:rsidR="00747C27" w:rsidRDefault="00747C27" w:rsidP="00747C27">
      <w:pPr>
        <w:pStyle w:val="ListParagraph"/>
        <w:numPr>
          <w:ilvl w:val="0"/>
          <w:numId w:val="4"/>
        </w:numPr>
        <w:spacing w:after="200" w:line="360" w:lineRule="auto"/>
        <w:ind w:left="1080"/>
      </w:pPr>
      <w:r w:rsidRPr="006A2469">
        <w:t xml:space="preserve">Hasil dari uji t (parsial) antara variabel </w:t>
      </w:r>
      <w:r>
        <w:rPr>
          <w:i/>
          <w:lang w:val="it-IT"/>
        </w:rPr>
        <w:t>Return On Equity</w:t>
      </w:r>
      <w:r>
        <w:rPr>
          <w:lang w:val="it-IT"/>
        </w:rPr>
        <w:t xml:space="preserve"> (ROE) (X</w:t>
      </w:r>
      <w:r w:rsidRPr="00D160B3">
        <w:rPr>
          <w:vertAlign w:val="subscript"/>
          <w:lang w:val="it-IT"/>
        </w:rPr>
        <w:t>1</w:t>
      </w:r>
      <w:r>
        <w:rPr>
          <w:lang w:val="it-IT"/>
        </w:rPr>
        <w:t xml:space="preserve">) </w:t>
      </w:r>
      <w:r w:rsidRPr="006A2469">
        <w:t xml:space="preserve">terhadap variabel </w:t>
      </w:r>
      <w:r w:rsidRPr="00312F30">
        <w:rPr>
          <w:i/>
        </w:rPr>
        <w:t>return</w:t>
      </w:r>
      <w:r>
        <w:t xml:space="preserve"> saham </w:t>
      </w:r>
      <w:r w:rsidRPr="006A2469">
        <w:t xml:space="preserve">(Y) menunjukkan nilai t hitung </w:t>
      </w:r>
      <w:r w:rsidRPr="00312F30">
        <w:t xml:space="preserve">sebesar </w:t>
      </w:r>
      <w:r>
        <w:rPr>
          <w:color w:val="000000"/>
        </w:rPr>
        <w:t xml:space="preserve">0,050 </w:t>
      </w:r>
      <w:r w:rsidRPr="006A2469">
        <w:t xml:space="preserve">serta memiliki nilai </w:t>
      </w:r>
      <w:r>
        <w:t>probabilitas (sig) sebesar 0,961 artinya lebih besar dari</w:t>
      </w:r>
      <w:r w:rsidRPr="006A2469">
        <w:t xml:space="preserve"> 0,05, </w:t>
      </w:r>
      <w:r>
        <w:t>b</w:t>
      </w:r>
      <w:r w:rsidRPr="006A2469">
        <w:t xml:space="preserve">erarti </w:t>
      </w:r>
      <w:r>
        <w:rPr>
          <w:i/>
          <w:lang w:val="it-IT"/>
        </w:rPr>
        <w:t>Return On Equity</w:t>
      </w:r>
      <w:r>
        <w:rPr>
          <w:lang w:val="it-IT"/>
        </w:rPr>
        <w:t xml:space="preserve"> (ROE) </w:t>
      </w:r>
      <w:r w:rsidRPr="006A2469">
        <w:t xml:space="preserve">berpengaruh </w:t>
      </w:r>
      <w:r>
        <w:t xml:space="preserve">negatif terhadap </w:t>
      </w:r>
      <w:r w:rsidRPr="0024541F">
        <w:rPr>
          <w:i/>
        </w:rPr>
        <w:t>return</w:t>
      </w:r>
      <w:r>
        <w:t xml:space="preserve"> saham</w:t>
      </w:r>
      <w:r w:rsidRPr="006A2469">
        <w:t>.</w:t>
      </w:r>
    </w:p>
    <w:p w:rsidR="00747C27" w:rsidRDefault="00747C27" w:rsidP="00747C27">
      <w:pPr>
        <w:pStyle w:val="ListParagraph"/>
        <w:numPr>
          <w:ilvl w:val="0"/>
          <w:numId w:val="4"/>
        </w:numPr>
        <w:spacing w:after="200" w:line="360" w:lineRule="auto"/>
        <w:ind w:left="1080"/>
      </w:pPr>
      <w:r w:rsidRPr="00D45292">
        <w:t xml:space="preserve">Hasil uji t (parsial) antara variabel </w:t>
      </w:r>
      <w:r>
        <w:rPr>
          <w:i/>
          <w:lang w:val="it-IT"/>
        </w:rPr>
        <w:t>Debt to Equity Ratios</w:t>
      </w:r>
      <w:r>
        <w:rPr>
          <w:lang w:val="it-IT"/>
        </w:rPr>
        <w:t xml:space="preserve"> (DER)</w:t>
      </w:r>
      <w:r w:rsidRPr="00D45292">
        <w:rPr>
          <w:lang w:val="it-IT"/>
        </w:rPr>
        <w:t xml:space="preserve"> </w:t>
      </w:r>
      <w:r w:rsidRPr="00D45292">
        <w:t>(X</w:t>
      </w:r>
      <w:r w:rsidRPr="00D160B3">
        <w:rPr>
          <w:vertAlign w:val="subscript"/>
        </w:rPr>
        <w:t>2</w:t>
      </w:r>
      <w:r w:rsidRPr="00D45292">
        <w:t xml:space="preserve">) terhadap variabel </w:t>
      </w:r>
      <w:r w:rsidRPr="00D45292">
        <w:rPr>
          <w:i/>
        </w:rPr>
        <w:t>return</w:t>
      </w:r>
      <w:r w:rsidRPr="00D45292">
        <w:t xml:space="preserve"> saham (Y) menunjukkan nilai t hitung sebesar </w:t>
      </w:r>
      <w:r>
        <w:t>-</w:t>
      </w:r>
      <w:r>
        <w:rPr>
          <w:color w:val="000000"/>
        </w:rPr>
        <w:t>0,710</w:t>
      </w:r>
      <w:r w:rsidRPr="00D45292">
        <w:t xml:space="preserve"> serta memiliki nilai probabilitas (</w:t>
      </w:r>
      <w:r w:rsidRPr="00D45292">
        <w:rPr>
          <w:i/>
          <w:iCs/>
        </w:rPr>
        <w:t>sig</w:t>
      </w:r>
      <w:r w:rsidRPr="00D45292">
        <w:t>) sebesar 0</w:t>
      </w:r>
      <w:r>
        <w:t>,480 yang lebih besar dari 0,05</w:t>
      </w:r>
      <w:r w:rsidRPr="00D45292">
        <w:t xml:space="preserve"> berarti </w:t>
      </w:r>
      <w:r>
        <w:rPr>
          <w:i/>
          <w:lang w:val="it-IT"/>
        </w:rPr>
        <w:t>Debt to Equity Ratios</w:t>
      </w:r>
      <w:r>
        <w:rPr>
          <w:lang w:val="it-IT"/>
        </w:rPr>
        <w:t xml:space="preserve"> (DER)</w:t>
      </w:r>
      <w:r w:rsidRPr="00D45292">
        <w:t xml:space="preserve"> berpengaruh </w:t>
      </w:r>
      <w:r>
        <w:t xml:space="preserve">negatif </w:t>
      </w:r>
      <w:r w:rsidRPr="00D45292">
        <w:t xml:space="preserve">terhadap </w:t>
      </w:r>
      <w:r w:rsidRPr="00D45292">
        <w:rPr>
          <w:i/>
        </w:rPr>
        <w:t>return</w:t>
      </w:r>
      <w:r>
        <w:t xml:space="preserve"> saham.</w:t>
      </w:r>
    </w:p>
    <w:p w:rsidR="00F649C2" w:rsidRPr="00747C27" w:rsidRDefault="00747C27" w:rsidP="00747C27">
      <w:pPr>
        <w:pStyle w:val="ListParagraph"/>
        <w:numPr>
          <w:ilvl w:val="0"/>
          <w:numId w:val="4"/>
        </w:numPr>
        <w:spacing w:after="200" w:line="360" w:lineRule="auto"/>
        <w:ind w:left="1080"/>
      </w:pPr>
      <w:r w:rsidRPr="00D45292">
        <w:t xml:space="preserve">Hasil uji t (parsial) antara </w:t>
      </w:r>
      <w:r>
        <w:t>variable</w:t>
      </w:r>
      <w:r>
        <w:rPr>
          <w:lang w:val="it-IT"/>
        </w:rPr>
        <w:t xml:space="preserve"> </w:t>
      </w:r>
      <w:r>
        <w:rPr>
          <w:i/>
          <w:lang w:val="it-IT"/>
        </w:rPr>
        <w:t xml:space="preserve">Market to Book Ratios </w:t>
      </w:r>
      <w:r>
        <w:rPr>
          <w:lang w:val="it-IT"/>
        </w:rPr>
        <w:t>(MBR)</w:t>
      </w:r>
      <w:r w:rsidRPr="00D45292">
        <w:rPr>
          <w:lang w:val="it-IT"/>
        </w:rPr>
        <w:t xml:space="preserve"> </w:t>
      </w:r>
      <w:r w:rsidRPr="00D45292">
        <w:t>(X</w:t>
      </w:r>
      <w:r>
        <w:rPr>
          <w:vertAlign w:val="subscript"/>
        </w:rPr>
        <w:t>3</w:t>
      </w:r>
      <w:r w:rsidRPr="00D45292">
        <w:t xml:space="preserve">) terhadap variabel </w:t>
      </w:r>
      <w:r w:rsidRPr="00D45292">
        <w:rPr>
          <w:i/>
        </w:rPr>
        <w:t>return</w:t>
      </w:r>
      <w:r w:rsidRPr="00D45292">
        <w:t xml:space="preserve"> saham (Y) menunjukkan nilai t hitung sebesar </w:t>
      </w:r>
      <w:r>
        <w:t>0,379</w:t>
      </w:r>
      <w:r w:rsidRPr="00D45292">
        <w:t xml:space="preserve"> serta memiliki nilai probabilitas (</w:t>
      </w:r>
      <w:r w:rsidRPr="00D45292">
        <w:rPr>
          <w:i/>
          <w:iCs/>
        </w:rPr>
        <w:t>sig</w:t>
      </w:r>
      <w:r w:rsidRPr="00D45292">
        <w:t>) sebesar 0</w:t>
      </w:r>
      <w:r>
        <w:t>,706 yang lebih besar dari 0,05</w:t>
      </w:r>
      <w:r w:rsidRPr="00D45292">
        <w:t xml:space="preserve"> berarti </w:t>
      </w:r>
      <w:r>
        <w:rPr>
          <w:i/>
          <w:lang w:val="it-IT"/>
        </w:rPr>
        <w:t xml:space="preserve">Market to Book Ratios </w:t>
      </w:r>
      <w:r>
        <w:rPr>
          <w:lang w:val="it-IT"/>
        </w:rPr>
        <w:t>(MBR)</w:t>
      </w:r>
      <w:r w:rsidRPr="006A2469">
        <w:rPr>
          <w:lang w:val="it-IT"/>
        </w:rPr>
        <w:t xml:space="preserve"> </w:t>
      </w:r>
      <w:r w:rsidRPr="00D45292">
        <w:t xml:space="preserve">berpengaruh </w:t>
      </w:r>
      <w:r>
        <w:t xml:space="preserve">negatif </w:t>
      </w:r>
      <w:r w:rsidRPr="00D45292">
        <w:t xml:space="preserve">terhadap </w:t>
      </w:r>
      <w:r w:rsidRPr="00D45292">
        <w:rPr>
          <w:i/>
        </w:rPr>
        <w:t>return</w:t>
      </w:r>
      <w:r>
        <w:t xml:space="preserve"> saham.</w:t>
      </w:r>
    </w:p>
    <w:p w:rsidR="0016500E" w:rsidRDefault="0016500E" w:rsidP="0090101B">
      <w:pPr>
        <w:pStyle w:val="ListParagraph"/>
        <w:numPr>
          <w:ilvl w:val="0"/>
          <w:numId w:val="10"/>
        </w:numPr>
        <w:spacing w:line="360" w:lineRule="auto"/>
      </w:pPr>
      <w:r w:rsidRPr="006544BC">
        <w:rPr>
          <w:b/>
        </w:rPr>
        <w:t>Kesimpulan</w:t>
      </w:r>
    </w:p>
    <w:p w:rsidR="0016500E" w:rsidRPr="003F748D" w:rsidRDefault="0016500E" w:rsidP="0090101B">
      <w:pPr>
        <w:pStyle w:val="ListParagraph"/>
        <w:autoSpaceDE w:val="0"/>
        <w:autoSpaceDN w:val="0"/>
        <w:adjustRightInd w:val="0"/>
        <w:spacing w:line="360" w:lineRule="auto"/>
        <w:ind w:left="1080" w:firstLine="360"/>
        <w:rPr>
          <w:rFonts w:asciiTheme="majorBidi" w:hAnsiTheme="majorBidi" w:cstheme="majorBidi"/>
        </w:rPr>
      </w:pPr>
      <w:r>
        <w:rPr>
          <w:color w:val="000000"/>
        </w:rPr>
        <w:t>Adapun kesimpulan dari hasil penelitian dan pengolahan data adalah sebagai berikut:</w:t>
      </w:r>
    </w:p>
    <w:p w:rsidR="00747C27" w:rsidRDefault="0016500E" w:rsidP="00747C27">
      <w:pPr>
        <w:pStyle w:val="ListParagraph"/>
        <w:numPr>
          <w:ilvl w:val="0"/>
          <w:numId w:val="6"/>
        </w:numPr>
        <w:spacing w:line="360" w:lineRule="auto"/>
        <w:ind w:left="1440"/>
      </w:pPr>
      <w:r w:rsidRPr="00263D1E">
        <w:t xml:space="preserve">Berdasarkan hasil uji </w:t>
      </w:r>
      <w:r w:rsidR="00747C27">
        <w:t>normalitas</w:t>
      </w:r>
      <w:r w:rsidRPr="00263D1E">
        <w:t xml:space="preserve"> </w:t>
      </w:r>
      <w:r w:rsidR="00747C27">
        <w:rPr>
          <w:lang w:val="it-IT"/>
        </w:rPr>
        <w:t xml:space="preserve">menunjukkan </w:t>
      </w:r>
      <w:r w:rsidR="00747C27">
        <w:t xml:space="preserve">bahwa semua data terdistribusi normal dengan </w:t>
      </w:r>
      <w:r w:rsidR="00747C27" w:rsidRPr="00574878">
        <w:rPr>
          <w:i/>
        </w:rPr>
        <w:t>asymp. Sig</w:t>
      </w:r>
      <w:r w:rsidR="00747C27">
        <w:t>. (2-</w:t>
      </w:r>
      <w:r w:rsidR="00747C27" w:rsidRPr="00574878">
        <w:rPr>
          <w:i/>
        </w:rPr>
        <w:t>tailed</w:t>
      </w:r>
      <w:r w:rsidR="00747C27">
        <w:t>) ROE 0,435, DER 0,454 dan MBR 0,461 &gt; 0,05 bearti H</w:t>
      </w:r>
      <w:r w:rsidR="00747C27">
        <w:rPr>
          <w:vertAlign w:val="subscript"/>
        </w:rPr>
        <w:t>o</w:t>
      </w:r>
      <w:r w:rsidR="00747C27">
        <w:t xml:space="preserve"> diterima.</w:t>
      </w:r>
    </w:p>
    <w:p w:rsidR="00747C27" w:rsidRDefault="00747C27" w:rsidP="00747C27">
      <w:pPr>
        <w:pStyle w:val="ListParagraph"/>
        <w:numPr>
          <w:ilvl w:val="0"/>
          <w:numId w:val="6"/>
        </w:numPr>
        <w:spacing w:line="360" w:lineRule="auto"/>
        <w:ind w:left="1440"/>
      </w:pPr>
      <w:r>
        <w:t>Berdasarkan hasil analisis regresi berganda sebagai berikut :</w:t>
      </w:r>
    </w:p>
    <w:p w:rsidR="00747C27" w:rsidRDefault="00747C27" w:rsidP="00747C27">
      <w:pPr>
        <w:pStyle w:val="ListParagraph"/>
        <w:numPr>
          <w:ilvl w:val="0"/>
          <w:numId w:val="11"/>
        </w:numPr>
        <w:spacing w:line="360" w:lineRule="auto"/>
        <w:ind w:left="1800"/>
        <w:rPr>
          <w:lang w:val="it-IT"/>
        </w:rPr>
      </w:pPr>
      <w:r w:rsidRPr="00747C27">
        <w:rPr>
          <w:lang w:val="it-IT"/>
        </w:rPr>
        <w:lastRenderedPageBreak/>
        <w:t>Koefisien regresi (</w:t>
      </w:r>
      <w:r w:rsidRPr="00D11DD9">
        <w:t>β</w:t>
      </w:r>
      <w:r w:rsidRPr="00747C27">
        <w:rPr>
          <w:lang w:val="it-IT"/>
        </w:rPr>
        <w:t xml:space="preserve">) bo sebesar -0,206 menerangkan bahwa apabila </w:t>
      </w:r>
      <w:r w:rsidRPr="00747C27">
        <w:rPr>
          <w:i/>
          <w:lang w:val="it-IT"/>
        </w:rPr>
        <w:t xml:space="preserve">Return On Equity </w:t>
      </w:r>
      <w:r w:rsidRPr="00747C27">
        <w:rPr>
          <w:lang w:val="it-IT"/>
        </w:rPr>
        <w:t xml:space="preserve">(ROE), </w:t>
      </w:r>
      <w:r w:rsidRPr="00747C27">
        <w:rPr>
          <w:i/>
          <w:lang w:val="it-IT"/>
        </w:rPr>
        <w:t xml:space="preserve">Debt to Equity Ratios </w:t>
      </w:r>
      <w:r w:rsidRPr="00747C27">
        <w:rPr>
          <w:lang w:val="it-IT"/>
        </w:rPr>
        <w:t xml:space="preserve">(DER) dan </w:t>
      </w:r>
      <w:r w:rsidRPr="00747C27">
        <w:rPr>
          <w:i/>
          <w:lang w:val="it-IT"/>
        </w:rPr>
        <w:t>Market to Book Ratios</w:t>
      </w:r>
      <w:r w:rsidRPr="00747C27">
        <w:rPr>
          <w:lang w:val="it-IT"/>
        </w:rPr>
        <w:t xml:space="preserve"> (MBR) sama dengan nol, maka pengaruh terhadap </w:t>
      </w:r>
      <w:r w:rsidRPr="00747C27">
        <w:rPr>
          <w:i/>
          <w:lang w:val="it-IT"/>
        </w:rPr>
        <w:t>return</w:t>
      </w:r>
      <w:r w:rsidRPr="00747C27">
        <w:rPr>
          <w:lang w:val="it-IT"/>
        </w:rPr>
        <w:t xml:space="preserve"> saham adalah sebesar -0,206.</w:t>
      </w:r>
    </w:p>
    <w:p w:rsidR="00747C27" w:rsidRDefault="00747C27" w:rsidP="00747C27">
      <w:pPr>
        <w:pStyle w:val="ListParagraph"/>
        <w:numPr>
          <w:ilvl w:val="0"/>
          <w:numId w:val="11"/>
        </w:numPr>
        <w:spacing w:line="360" w:lineRule="auto"/>
        <w:ind w:left="1800"/>
        <w:rPr>
          <w:lang w:val="it-IT"/>
        </w:rPr>
      </w:pPr>
      <w:r w:rsidRPr="00747C27">
        <w:rPr>
          <w:lang w:val="it-IT"/>
        </w:rPr>
        <w:t xml:space="preserve">Apabila </w:t>
      </w:r>
      <w:r w:rsidRPr="00747C27">
        <w:rPr>
          <w:i/>
          <w:lang w:val="it-IT"/>
        </w:rPr>
        <w:t xml:space="preserve">Return On Equity </w:t>
      </w:r>
      <w:r w:rsidRPr="00747C27">
        <w:rPr>
          <w:lang w:val="it-IT"/>
        </w:rPr>
        <w:t xml:space="preserve">(ROE) meningkat sebesar satu satuan maka pengaruh terhadap </w:t>
      </w:r>
      <w:r w:rsidRPr="00747C27">
        <w:rPr>
          <w:i/>
          <w:lang w:val="it-IT"/>
        </w:rPr>
        <w:t xml:space="preserve">return </w:t>
      </w:r>
      <w:r w:rsidRPr="00747C27">
        <w:rPr>
          <w:lang w:val="it-IT"/>
        </w:rPr>
        <w:t>saham</w:t>
      </w:r>
      <w:r w:rsidRPr="00747C27">
        <w:rPr>
          <w:i/>
          <w:lang w:val="it-IT"/>
        </w:rPr>
        <w:t xml:space="preserve"> </w:t>
      </w:r>
      <w:r w:rsidRPr="00747C27">
        <w:rPr>
          <w:lang w:val="it-IT"/>
        </w:rPr>
        <w:t>akan turun sebesar 0,00001964 satuan.</w:t>
      </w:r>
    </w:p>
    <w:p w:rsidR="00747C27" w:rsidRDefault="00747C27" w:rsidP="00747C27">
      <w:pPr>
        <w:pStyle w:val="ListParagraph"/>
        <w:numPr>
          <w:ilvl w:val="0"/>
          <w:numId w:val="11"/>
        </w:numPr>
        <w:spacing w:line="360" w:lineRule="auto"/>
        <w:ind w:left="1800"/>
        <w:rPr>
          <w:lang w:val="it-IT"/>
        </w:rPr>
      </w:pPr>
      <w:r w:rsidRPr="00747C27">
        <w:rPr>
          <w:lang w:val="it-IT"/>
        </w:rPr>
        <w:t xml:space="preserve">Apabila </w:t>
      </w:r>
      <w:r w:rsidRPr="00747C27">
        <w:rPr>
          <w:i/>
          <w:lang w:val="it-IT"/>
        </w:rPr>
        <w:t>Debt to Equity Ratios</w:t>
      </w:r>
      <w:r w:rsidRPr="00747C27">
        <w:rPr>
          <w:lang w:val="it-IT"/>
        </w:rPr>
        <w:t xml:space="preserve"> (DER) meningkat sebesar satu satuan maka pengaruh terhadap </w:t>
      </w:r>
      <w:r w:rsidRPr="00747C27">
        <w:rPr>
          <w:i/>
          <w:lang w:val="it-IT"/>
        </w:rPr>
        <w:t xml:space="preserve">return </w:t>
      </w:r>
      <w:r w:rsidRPr="00747C27">
        <w:rPr>
          <w:lang w:val="it-IT"/>
        </w:rPr>
        <w:t>saham akan turun sebesar 0,002 satuan.</w:t>
      </w:r>
    </w:p>
    <w:p w:rsidR="00747C27" w:rsidRPr="00747C27" w:rsidRDefault="00747C27" w:rsidP="00747C27">
      <w:pPr>
        <w:pStyle w:val="ListParagraph"/>
        <w:numPr>
          <w:ilvl w:val="0"/>
          <w:numId w:val="11"/>
        </w:numPr>
        <w:spacing w:line="360" w:lineRule="auto"/>
        <w:ind w:left="1800"/>
        <w:rPr>
          <w:lang w:val="it-IT"/>
        </w:rPr>
      </w:pPr>
      <w:r w:rsidRPr="00747C27">
        <w:rPr>
          <w:lang w:val="it-IT"/>
        </w:rPr>
        <w:t xml:space="preserve">Apabila </w:t>
      </w:r>
      <w:r w:rsidRPr="00747C27">
        <w:rPr>
          <w:i/>
          <w:lang w:val="it-IT"/>
        </w:rPr>
        <w:t>Market to Book Ratios</w:t>
      </w:r>
      <w:r w:rsidRPr="00747C27">
        <w:rPr>
          <w:lang w:val="it-IT"/>
        </w:rPr>
        <w:t xml:space="preserve"> (MBR) meningkat sebesar satu satuan maka pengaruh terhadap </w:t>
      </w:r>
      <w:r w:rsidRPr="00747C27">
        <w:rPr>
          <w:i/>
          <w:lang w:val="it-IT"/>
        </w:rPr>
        <w:t xml:space="preserve">return </w:t>
      </w:r>
      <w:r w:rsidRPr="00747C27">
        <w:rPr>
          <w:lang w:val="it-IT"/>
        </w:rPr>
        <w:t>saham akan meningkat sebesar 0,00006131 satuan.</w:t>
      </w:r>
    </w:p>
    <w:p w:rsidR="00A036C4" w:rsidRPr="00A036C4" w:rsidRDefault="0016500E" w:rsidP="00A036C4">
      <w:pPr>
        <w:pStyle w:val="ListParagraph"/>
        <w:numPr>
          <w:ilvl w:val="0"/>
          <w:numId w:val="6"/>
        </w:numPr>
        <w:spacing w:line="360" w:lineRule="auto"/>
        <w:ind w:left="1440"/>
        <w:rPr>
          <w:lang w:val="it-IT"/>
        </w:rPr>
      </w:pPr>
      <w:r w:rsidRPr="00747C27">
        <w:rPr>
          <w:rFonts w:asciiTheme="majorBidi" w:hAnsiTheme="majorBidi" w:cstheme="majorBidi"/>
        </w:rPr>
        <w:t xml:space="preserve">Berdasarkan hasil uji </w:t>
      </w:r>
      <w:r w:rsidR="00747C27" w:rsidRPr="00747C27">
        <w:rPr>
          <w:rFonts w:asciiTheme="majorBidi" w:hAnsiTheme="majorBidi" w:cstheme="majorBidi"/>
        </w:rPr>
        <w:t>koefisien korelasi berganda</w:t>
      </w:r>
      <w:r w:rsidRPr="00747C27">
        <w:rPr>
          <w:rFonts w:asciiTheme="majorBidi" w:hAnsiTheme="majorBidi" w:cstheme="majorBidi"/>
        </w:rPr>
        <w:t xml:space="preserve"> (</w:t>
      </w:r>
      <w:r w:rsidR="00747C27" w:rsidRPr="00747C27">
        <w:rPr>
          <w:rFonts w:asciiTheme="majorBidi" w:hAnsiTheme="majorBidi" w:cstheme="majorBidi"/>
        </w:rPr>
        <w:t>r</w:t>
      </w:r>
      <w:r w:rsidRPr="00747C27">
        <w:rPr>
          <w:rFonts w:asciiTheme="majorBidi" w:hAnsiTheme="majorBidi" w:cstheme="majorBidi"/>
        </w:rPr>
        <w:t xml:space="preserve">) bahwa </w:t>
      </w:r>
      <w:r w:rsidR="00747C27">
        <w:t xml:space="preserve">nilai korelasi yang diperoleh sebesar 0,147. Hal ini berarti bahwa hubungan antara </w:t>
      </w:r>
      <w:r w:rsidR="00747C27" w:rsidRPr="00F649C2">
        <w:rPr>
          <w:i/>
        </w:rPr>
        <w:t xml:space="preserve">Return On </w:t>
      </w:r>
      <w:r w:rsidR="00747C27" w:rsidRPr="009A56DE">
        <w:t>Equity</w:t>
      </w:r>
      <w:r w:rsidR="00747C27">
        <w:t xml:space="preserve"> (</w:t>
      </w:r>
      <w:r w:rsidR="00747C27" w:rsidRPr="009A56DE">
        <w:t>ROE</w:t>
      </w:r>
      <w:r w:rsidR="00747C27">
        <w:t xml:space="preserve">), </w:t>
      </w:r>
      <w:r w:rsidR="00747C27" w:rsidRPr="00F649C2">
        <w:rPr>
          <w:i/>
        </w:rPr>
        <w:t xml:space="preserve">Debt to Eqiuty </w:t>
      </w:r>
      <w:r w:rsidR="00747C27" w:rsidRPr="009A56DE">
        <w:t>Ratios</w:t>
      </w:r>
      <w:r w:rsidR="00747C27">
        <w:t xml:space="preserve"> (DER) dan </w:t>
      </w:r>
      <w:r w:rsidR="00747C27" w:rsidRPr="00F649C2">
        <w:rPr>
          <w:i/>
        </w:rPr>
        <w:t xml:space="preserve">Market to Book Ratios </w:t>
      </w:r>
      <w:r w:rsidR="00747C27">
        <w:t xml:space="preserve">(MBR) terhadap </w:t>
      </w:r>
      <w:r w:rsidR="00747C27" w:rsidRPr="00F649C2">
        <w:rPr>
          <w:i/>
        </w:rPr>
        <w:t>return</w:t>
      </w:r>
      <w:r w:rsidR="00747C27">
        <w:t xml:space="preserve"> saham sebesar 0,147.</w:t>
      </w:r>
    </w:p>
    <w:p w:rsidR="00A036C4" w:rsidRPr="00A036C4" w:rsidRDefault="0016500E" w:rsidP="00A036C4">
      <w:pPr>
        <w:pStyle w:val="ListParagraph"/>
        <w:numPr>
          <w:ilvl w:val="0"/>
          <w:numId w:val="6"/>
        </w:numPr>
        <w:spacing w:line="360" w:lineRule="auto"/>
        <w:ind w:left="1440"/>
        <w:rPr>
          <w:lang w:val="it-IT"/>
        </w:rPr>
      </w:pPr>
      <w:r w:rsidRPr="002840D7">
        <w:t xml:space="preserve">Berdasarkan hasil uji </w:t>
      </w:r>
      <w:r w:rsidR="00A036C4">
        <w:t>determinasi (R</w:t>
      </w:r>
      <w:r w:rsidR="00A036C4" w:rsidRPr="00A036C4">
        <w:rPr>
          <w:vertAlign w:val="superscript"/>
        </w:rPr>
        <w:t>2</w:t>
      </w:r>
      <w:r w:rsidR="00A036C4">
        <w:t>) bahwa n</w:t>
      </w:r>
      <w:r w:rsidR="00A036C4" w:rsidRPr="002360E0">
        <w:t>ilai koefisien determinasi (R</w:t>
      </w:r>
      <w:r w:rsidR="00A036C4" w:rsidRPr="00A036C4">
        <w:rPr>
          <w:vertAlign w:val="superscript"/>
        </w:rPr>
        <w:t>2</w:t>
      </w:r>
      <w:r w:rsidR="00A036C4" w:rsidRPr="002360E0">
        <w:t xml:space="preserve">) </w:t>
      </w:r>
      <w:r w:rsidR="00A036C4">
        <w:t xml:space="preserve">atau R </w:t>
      </w:r>
      <w:r w:rsidR="00A036C4" w:rsidRPr="00A036C4">
        <w:rPr>
          <w:i/>
        </w:rPr>
        <w:t xml:space="preserve">Squre </w:t>
      </w:r>
      <w:r w:rsidR="00A036C4" w:rsidRPr="002360E0">
        <w:t>yang diperoleh sebesar 0,</w:t>
      </w:r>
      <w:r w:rsidR="00A036C4" w:rsidRPr="00A036C4">
        <w:rPr>
          <w:color w:val="000000"/>
        </w:rPr>
        <w:t>022</w:t>
      </w:r>
      <w:r w:rsidR="00A036C4" w:rsidRPr="002360E0">
        <w:t xml:space="preserve">. Hal ini berarti bahwa </w:t>
      </w:r>
      <w:r w:rsidR="00A036C4">
        <w:t>2,2% (1 x 0,022</w:t>
      </w:r>
      <w:r w:rsidR="00A036C4" w:rsidRPr="002360E0">
        <w:t xml:space="preserve"> x 100%) </w:t>
      </w:r>
      <w:r w:rsidR="00A036C4">
        <w:t xml:space="preserve">pengaruh terhadap </w:t>
      </w:r>
      <w:r w:rsidR="00A036C4" w:rsidRPr="00A036C4">
        <w:rPr>
          <w:i/>
        </w:rPr>
        <w:t xml:space="preserve">return </w:t>
      </w:r>
      <w:r w:rsidR="00A036C4">
        <w:t xml:space="preserve">saham </w:t>
      </w:r>
      <w:r w:rsidR="00A036C4" w:rsidRPr="002360E0">
        <w:t xml:space="preserve">dapat dijelaskan oleh </w:t>
      </w:r>
      <w:r w:rsidR="00A036C4">
        <w:t xml:space="preserve">variabel </w:t>
      </w:r>
      <w:r w:rsidR="00A036C4" w:rsidRPr="00A036C4">
        <w:rPr>
          <w:i/>
          <w:lang w:val="it-IT"/>
        </w:rPr>
        <w:t>Return On Equity</w:t>
      </w:r>
      <w:r w:rsidR="00A036C4" w:rsidRPr="00A036C4">
        <w:rPr>
          <w:lang w:val="it-IT"/>
        </w:rPr>
        <w:t xml:space="preserve"> (ROE), </w:t>
      </w:r>
      <w:r w:rsidR="00A036C4" w:rsidRPr="00A036C4">
        <w:rPr>
          <w:i/>
          <w:lang w:val="it-IT"/>
        </w:rPr>
        <w:t xml:space="preserve">Debt to Equity Ratios </w:t>
      </w:r>
      <w:r w:rsidR="00A036C4" w:rsidRPr="00A036C4">
        <w:rPr>
          <w:lang w:val="it-IT"/>
        </w:rPr>
        <w:t>(DER) dan</w:t>
      </w:r>
      <w:r w:rsidR="00A036C4" w:rsidRPr="00A036C4">
        <w:rPr>
          <w:i/>
          <w:lang w:val="it-IT"/>
        </w:rPr>
        <w:t>Market to Book Ratios</w:t>
      </w:r>
      <w:r w:rsidR="00A036C4" w:rsidRPr="00A036C4">
        <w:rPr>
          <w:lang w:val="it-IT"/>
        </w:rPr>
        <w:t xml:space="preserve"> (MBR), </w:t>
      </w:r>
      <w:r w:rsidR="00A036C4" w:rsidRPr="00AA6A73">
        <w:t>sedangkan sisanya yaitu sebesar</w:t>
      </w:r>
      <w:r w:rsidR="00A036C4">
        <w:t xml:space="preserve"> 97,8% (1 – 0,978</w:t>
      </w:r>
      <w:r w:rsidR="00A036C4" w:rsidRPr="00AA6A73">
        <w:t xml:space="preserve"> x 100%) </w:t>
      </w:r>
      <w:r w:rsidR="00A036C4" w:rsidRPr="00A036C4">
        <w:rPr>
          <w:i/>
        </w:rPr>
        <w:t>return</w:t>
      </w:r>
      <w:r w:rsidR="00A036C4">
        <w:t xml:space="preserve"> saham dipengaruhi oleh </w:t>
      </w:r>
      <w:r w:rsidR="00A036C4" w:rsidRPr="00AA6A73">
        <w:t xml:space="preserve">variabel-variabel lainnya yang tidak diteliti dalam penelitian ini. </w:t>
      </w:r>
    </w:p>
    <w:p w:rsidR="00A036C4" w:rsidRDefault="00A036C4" w:rsidP="00A036C4">
      <w:pPr>
        <w:pStyle w:val="ListParagraph"/>
        <w:numPr>
          <w:ilvl w:val="0"/>
          <w:numId w:val="6"/>
        </w:numPr>
        <w:spacing w:line="360" w:lineRule="auto"/>
        <w:ind w:left="1440"/>
        <w:rPr>
          <w:lang w:val="it-IT"/>
        </w:rPr>
      </w:pPr>
      <w:r w:rsidRPr="00A036C4">
        <w:rPr>
          <w:lang w:val="it-IT"/>
        </w:rPr>
        <w:t>Berdasarkan hasil uji F bahwa secara bersama-sama variabel independen  tidak berpengaruh signifikan terhadap variabel dependen. Hal ini dapat dibuktikan dari nilai F hitung sebesar 0,442 serta memiliki nilai signifikansi (</w:t>
      </w:r>
      <w:r w:rsidRPr="00A036C4">
        <w:rPr>
          <w:i/>
          <w:iCs/>
          <w:lang w:val="it-IT"/>
        </w:rPr>
        <w:t>sig</w:t>
      </w:r>
      <w:r w:rsidRPr="00A036C4">
        <w:rPr>
          <w:lang w:val="it-IT"/>
        </w:rPr>
        <w:t xml:space="preserve">) sebesar 0,724 yang lebih besar dari 0,05, artinya bahwa variabel </w:t>
      </w:r>
      <w:r w:rsidRPr="00A036C4">
        <w:rPr>
          <w:i/>
          <w:lang w:val="it-IT"/>
        </w:rPr>
        <w:t>Return On Equity</w:t>
      </w:r>
      <w:r w:rsidRPr="00A036C4">
        <w:rPr>
          <w:lang w:val="it-IT"/>
        </w:rPr>
        <w:t xml:space="preserve"> (ROE), </w:t>
      </w:r>
      <w:r w:rsidRPr="00A036C4">
        <w:rPr>
          <w:i/>
          <w:lang w:val="it-IT"/>
        </w:rPr>
        <w:t xml:space="preserve">Debt to Equity </w:t>
      </w:r>
      <w:r w:rsidRPr="00A036C4">
        <w:rPr>
          <w:i/>
          <w:lang w:val="it-IT"/>
        </w:rPr>
        <w:lastRenderedPageBreak/>
        <w:t>Ratios</w:t>
      </w:r>
      <w:r w:rsidRPr="00A036C4">
        <w:rPr>
          <w:lang w:val="it-IT"/>
        </w:rPr>
        <w:t xml:space="preserve"> (DER) dan </w:t>
      </w:r>
      <w:r w:rsidRPr="00A036C4">
        <w:rPr>
          <w:i/>
          <w:lang w:val="it-IT"/>
        </w:rPr>
        <w:t xml:space="preserve">Market to Book Ratios </w:t>
      </w:r>
      <w:r w:rsidRPr="00A036C4">
        <w:rPr>
          <w:lang w:val="it-IT"/>
        </w:rPr>
        <w:t xml:space="preserve">(MBR) secara bersama-sama tidak berpengaruh signifikan terhadap </w:t>
      </w:r>
      <w:r w:rsidRPr="00A036C4">
        <w:rPr>
          <w:i/>
          <w:lang w:val="it-IT"/>
        </w:rPr>
        <w:t>return</w:t>
      </w:r>
      <w:r w:rsidRPr="00A036C4">
        <w:rPr>
          <w:lang w:val="it-IT"/>
        </w:rPr>
        <w:t xml:space="preserve">  saham.</w:t>
      </w:r>
    </w:p>
    <w:p w:rsidR="0016500E" w:rsidRPr="00A036C4" w:rsidRDefault="0016500E" w:rsidP="00A036C4">
      <w:pPr>
        <w:pStyle w:val="ListParagraph"/>
        <w:numPr>
          <w:ilvl w:val="0"/>
          <w:numId w:val="6"/>
        </w:numPr>
        <w:spacing w:line="360" w:lineRule="auto"/>
        <w:ind w:left="1440"/>
        <w:rPr>
          <w:lang w:val="it-IT"/>
        </w:rPr>
      </w:pPr>
      <w:r w:rsidRPr="00A036C4">
        <w:rPr>
          <w:rFonts w:asciiTheme="majorBidi" w:hAnsiTheme="majorBidi" w:cstheme="majorBidi"/>
        </w:rPr>
        <w:t>Berdasarkan hasil uji t (parsial) sebagai berikut:</w:t>
      </w:r>
    </w:p>
    <w:p w:rsidR="00A036C4" w:rsidRDefault="00A036C4" w:rsidP="00A036C4">
      <w:pPr>
        <w:pStyle w:val="ListParagraph"/>
        <w:numPr>
          <w:ilvl w:val="0"/>
          <w:numId w:val="12"/>
        </w:numPr>
        <w:spacing w:after="200" w:line="360" w:lineRule="auto"/>
        <w:ind w:left="1800"/>
      </w:pPr>
      <w:r w:rsidRPr="006A2469">
        <w:t xml:space="preserve">Hasil dari uji t (parsial) antara variabel </w:t>
      </w:r>
      <w:r>
        <w:rPr>
          <w:i/>
          <w:lang w:val="it-IT"/>
        </w:rPr>
        <w:t>Return On Equity</w:t>
      </w:r>
      <w:r>
        <w:rPr>
          <w:lang w:val="it-IT"/>
        </w:rPr>
        <w:t xml:space="preserve"> (ROE) (X</w:t>
      </w:r>
      <w:r w:rsidRPr="00D160B3">
        <w:rPr>
          <w:vertAlign w:val="subscript"/>
          <w:lang w:val="it-IT"/>
        </w:rPr>
        <w:t>1</w:t>
      </w:r>
      <w:r>
        <w:rPr>
          <w:lang w:val="it-IT"/>
        </w:rPr>
        <w:t xml:space="preserve">) </w:t>
      </w:r>
      <w:r w:rsidRPr="006A2469">
        <w:t xml:space="preserve">terhadap variabel </w:t>
      </w:r>
      <w:r w:rsidRPr="00312F30">
        <w:rPr>
          <w:i/>
        </w:rPr>
        <w:t>return</w:t>
      </w:r>
      <w:r>
        <w:t xml:space="preserve"> saham </w:t>
      </w:r>
      <w:r w:rsidRPr="006A2469">
        <w:t xml:space="preserve">(Y) menunjukkan nilai t hitung </w:t>
      </w:r>
      <w:r w:rsidRPr="00312F30">
        <w:t xml:space="preserve">sebesar </w:t>
      </w:r>
      <w:r>
        <w:rPr>
          <w:color w:val="000000"/>
        </w:rPr>
        <w:t xml:space="preserve">0,050 </w:t>
      </w:r>
      <w:r w:rsidRPr="006A2469">
        <w:t xml:space="preserve">serta memiliki nilai </w:t>
      </w:r>
      <w:r>
        <w:t>probabilitas (sig) sebesar 0,961 artinya lebih besar dari</w:t>
      </w:r>
      <w:r w:rsidRPr="006A2469">
        <w:t xml:space="preserve"> 0,05, </w:t>
      </w:r>
      <w:r>
        <w:t>b</w:t>
      </w:r>
      <w:r w:rsidRPr="006A2469">
        <w:t xml:space="preserve">erarti </w:t>
      </w:r>
      <w:r>
        <w:rPr>
          <w:i/>
          <w:lang w:val="it-IT"/>
        </w:rPr>
        <w:t>Return On Equity</w:t>
      </w:r>
      <w:r>
        <w:rPr>
          <w:lang w:val="it-IT"/>
        </w:rPr>
        <w:t xml:space="preserve"> (ROE) </w:t>
      </w:r>
      <w:r w:rsidRPr="006A2469">
        <w:t xml:space="preserve">berpengaruh </w:t>
      </w:r>
      <w:r>
        <w:t xml:space="preserve">negatif terhadap </w:t>
      </w:r>
      <w:r w:rsidRPr="0024541F">
        <w:rPr>
          <w:i/>
        </w:rPr>
        <w:t>return</w:t>
      </w:r>
      <w:r>
        <w:t xml:space="preserve"> saham</w:t>
      </w:r>
      <w:r w:rsidRPr="006A2469">
        <w:t>.</w:t>
      </w:r>
    </w:p>
    <w:p w:rsidR="00A036C4" w:rsidRDefault="00A036C4" w:rsidP="00A036C4">
      <w:pPr>
        <w:pStyle w:val="ListParagraph"/>
        <w:numPr>
          <w:ilvl w:val="0"/>
          <w:numId w:val="12"/>
        </w:numPr>
        <w:spacing w:after="200" w:line="360" w:lineRule="auto"/>
        <w:ind w:left="1800"/>
      </w:pPr>
      <w:r w:rsidRPr="00D45292">
        <w:t xml:space="preserve">Hasil uji t (parsial) antara variabel </w:t>
      </w:r>
      <w:r w:rsidRPr="00A036C4">
        <w:rPr>
          <w:i/>
          <w:lang w:val="it-IT"/>
        </w:rPr>
        <w:t>Debt to Equity Ratios</w:t>
      </w:r>
      <w:r w:rsidRPr="00A036C4">
        <w:rPr>
          <w:lang w:val="it-IT"/>
        </w:rPr>
        <w:t xml:space="preserve"> (DER) </w:t>
      </w:r>
      <w:r w:rsidRPr="00D45292">
        <w:t>(X</w:t>
      </w:r>
      <w:r w:rsidRPr="00A036C4">
        <w:rPr>
          <w:vertAlign w:val="subscript"/>
        </w:rPr>
        <w:t>2</w:t>
      </w:r>
      <w:r w:rsidRPr="00D45292">
        <w:t xml:space="preserve">) terhadap variabel </w:t>
      </w:r>
      <w:r w:rsidRPr="00A036C4">
        <w:rPr>
          <w:i/>
        </w:rPr>
        <w:t>return</w:t>
      </w:r>
      <w:r w:rsidRPr="00D45292">
        <w:t xml:space="preserve"> saham (Y) menunjukkan nilai t hitung sebesar </w:t>
      </w:r>
      <w:r>
        <w:t>-</w:t>
      </w:r>
      <w:r w:rsidRPr="00A036C4">
        <w:rPr>
          <w:color w:val="000000"/>
        </w:rPr>
        <w:t>0,710</w:t>
      </w:r>
      <w:r w:rsidRPr="00D45292">
        <w:t xml:space="preserve"> serta memiliki nilai probabilitas (</w:t>
      </w:r>
      <w:r w:rsidRPr="00A036C4">
        <w:rPr>
          <w:i/>
          <w:iCs/>
        </w:rPr>
        <w:t>sig</w:t>
      </w:r>
      <w:r w:rsidRPr="00D45292">
        <w:t>) sebesar 0</w:t>
      </w:r>
      <w:r>
        <w:t>,480 yang lebih besar dari 0,05</w:t>
      </w:r>
      <w:r w:rsidRPr="00D45292">
        <w:t xml:space="preserve"> berarti </w:t>
      </w:r>
      <w:r w:rsidRPr="00A036C4">
        <w:rPr>
          <w:i/>
          <w:lang w:val="it-IT"/>
        </w:rPr>
        <w:t>Debt to Equity Ratios</w:t>
      </w:r>
      <w:r w:rsidRPr="00A036C4">
        <w:rPr>
          <w:lang w:val="it-IT"/>
        </w:rPr>
        <w:t xml:space="preserve"> (DER)</w:t>
      </w:r>
      <w:r w:rsidRPr="00D45292">
        <w:t xml:space="preserve"> berpengaruh </w:t>
      </w:r>
      <w:r>
        <w:t xml:space="preserve">negatif </w:t>
      </w:r>
      <w:r w:rsidRPr="00D45292">
        <w:t xml:space="preserve">terhadap </w:t>
      </w:r>
      <w:r w:rsidRPr="00A036C4">
        <w:rPr>
          <w:i/>
        </w:rPr>
        <w:t>return</w:t>
      </w:r>
      <w:r>
        <w:t xml:space="preserve"> saham.</w:t>
      </w:r>
    </w:p>
    <w:p w:rsidR="00A036C4" w:rsidRPr="00747C27" w:rsidRDefault="00A036C4" w:rsidP="00A036C4">
      <w:pPr>
        <w:pStyle w:val="ListParagraph"/>
        <w:numPr>
          <w:ilvl w:val="0"/>
          <w:numId w:val="12"/>
        </w:numPr>
        <w:spacing w:after="200" w:line="360" w:lineRule="auto"/>
        <w:ind w:left="1800"/>
      </w:pPr>
      <w:r w:rsidRPr="00D45292">
        <w:t xml:space="preserve">Hasil uji t (parsial) antara </w:t>
      </w:r>
      <w:r>
        <w:t>variable</w:t>
      </w:r>
      <w:r w:rsidRPr="00A036C4">
        <w:rPr>
          <w:lang w:val="it-IT"/>
        </w:rPr>
        <w:t xml:space="preserve"> </w:t>
      </w:r>
      <w:r w:rsidRPr="00A036C4">
        <w:rPr>
          <w:i/>
          <w:lang w:val="it-IT"/>
        </w:rPr>
        <w:t xml:space="preserve">Market to Book Ratios </w:t>
      </w:r>
      <w:r w:rsidRPr="00A036C4">
        <w:rPr>
          <w:lang w:val="it-IT"/>
        </w:rPr>
        <w:t xml:space="preserve">(MBR) </w:t>
      </w:r>
      <w:r w:rsidRPr="00D45292">
        <w:t>(X</w:t>
      </w:r>
      <w:r w:rsidRPr="00A036C4">
        <w:rPr>
          <w:vertAlign w:val="subscript"/>
        </w:rPr>
        <w:t>3</w:t>
      </w:r>
      <w:r w:rsidRPr="00D45292">
        <w:t xml:space="preserve">) terhadap variabel </w:t>
      </w:r>
      <w:r w:rsidRPr="00A036C4">
        <w:rPr>
          <w:i/>
        </w:rPr>
        <w:t>return</w:t>
      </w:r>
      <w:r w:rsidRPr="00D45292">
        <w:t xml:space="preserve"> saham (Y) menunjukkan nilai t hitung sebesar </w:t>
      </w:r>
      <w:r>
        <w:t>0,379</w:t>
      </w:r>
      <w:r w:rsidRPr="00D45292">
        <w:t xml:space="preserve"> serta memiliki nilai probabilitas (</w:t>
      </w:r>
      <w:r w:rsidRPr="00A036C4">
        <w:rPr>
          <w:i/>
          <w:iCs/>
        </w:rPr>
        <w:t>sig</w:t>
      </w:r>
      <w:r w:rsidRPr="00D45292">
        <w:t>) sebesar 0</w:t>
      </w:r>
      <w:r>
        <w:t>,706 yang lebih besar dari 0,05</w:t>
      </w:r>
      <w:r w:rsidRPr="00D45292">
        <w:t xml:space="preserve"> berarti </w:t>
      </w:r>
      <w:r w:rsidRPr="00A036C4">
        <w:rPr>
          <w:i/>
          <w:lang w:val="it-IT"/>
        </w:rPr>
        <w:t xml:space="preserve">Market to Book Ratios </w:t>
      </w:r>
      <w:r w:rsidRPr="00A036C4">
        <w:rPr>
          <w:lang w:val="it-IT"/>
        </w:rPr>
        <w:t xml:space="preserve">(MBR) </w:t>
      </w:r>
      <w:r w:rsidRPr="00D45292">
        <w:t xml:space="preserve">berpengaruh </w:t>
      </w:r>
      <w:r>
        <w:t xml:space="preserve">negatif </w:t>
      </w:r>
      <w:r w:rsidRPr="00D45292">
        <w:t xml:space="preserve">terhadap </w:t>
      </w:r>
      <w:r w:rsidRPr="00A036C4">
        <w:rPr>
          <w:i/>
        </w:rPr>
        <w:t>return</w:t>
      </w:r>
      <w:r>
        <w:t xml:space="preserve"> saham.</w:t>
      </w:r>
    </w:p>
    <w:p w:rsidR="00A036C4" w:rsidRDefault="00A036C4" w:rsidP="0090101B">
      <w:pPr>
        <w:autoSpaceDE w:val="0"/>
        <w:autoSpaceDN w:val="0"/>
        <w:adjustRightInd w:val="0"/>
        <w:spacing w:line="360" w:lineRule="auto"/>
        <w:jc w:val="center"/>
        <w:rPr>
          <w:b/>
        </w:rPr>
      </w:pPr>
    </w:p>
    <w:p w:rsidR="00A036C4" w:rsidRDefault="00A036C4" w:rsidP="0090101B">
      <w:pPr>
        <w:autoSpaceDE w:val="0"/>
        <w:autoSpaceDN w:val="0"/>
        <w:adjustRightInd w:val="0"/>
        <w:spacing w:line="360" w:lineRule="auto"/>
        <w:jc w:val="center"/>
        <w:rPr>
          <w:b/>
        </w:rPr>
      </w:pPr>
    </w:p>
    <w:p w:rsidR="00A036C4" w:rsidRDefault="00A036C4" w:rsidP="0090101B">
      <w:pPr>
        <w:autoSpaceDE w:val="0"/>
        <w:autoSpaceDN w:val="0"/>
        <w:adjustRightInd w:val="0"/>
        <w:spacing w:line="360" w:lineRule="auto"/>
        <w:jc w:val="center"/>
        <w:rPr>
          <w:b/>
        </w:rPr>
      </w:pPr>
    </w:p>
    <w:p w:rsidR="00A036C4" w:rsidRDefault="00A036C4" w:rsidP="0090101B">
      <w:pPr>
        <w:autoSpaceDE w:val="0"/>
        <w:autoSpaceDN w:val="0"/>
        <w:adjustRightInd w:val="0"/>
        <w:spacing w:line="360" w:lineRule="auto"/>
        <w:jc w:val="center"/>
        <w:rPr>
          <w:b/>
        </w:rPr>
      </w:pPr>
    </w:p>
    <w:p w:rsidR="00A036C4" w:rsidRDefault="00A036C4" w:rsidP="0090101B">
      <w:pPr>
        <w:autoSpaceDE w:val="0"/>
        <w:autoSpaceDN w:val="0"/>
        <w:adjustRightInd w:val="0"/>
        <w:spacing w:line="360" w:lineRule="auto"/>
        <w:jc w:val="center"/>
        <w:rPr>
          <w:b/>
        </w:rPr>
      </w:pPr>
    </w:p>
    <w:p w:rsidR="00A036C4" w:rsidRDefault="00A036C4" w:rsidP="0090101B">
      <w:pPr>
        <w:autoSpaceDE w:val="0"/>
        <w:autoSpaceDN w:val="0"/>
        <w:adjustRightInd w:val="0"/>
        <w:spacing w:line="360" w:lineRule="auto"/>
        <w:jc w:val="center"/>
        <w:rPr>
          <w:b/>
        </w:rPr>
      </w:pPr>
    </w:p>
    <w:p w:rsidR="00A036C4" w:rsidRDefault="00A036C4" w:rsidP="0090101B">
      <w:pPr>
        <w:autoSpaceDE w:val="0"/>
        <w:autoSpaceDN w:val="0"/>
        <w:adjustRightInd w:val="0"/>
        <w:spacing w:line="360" w:lineRule="auto"/>
        <w:jc w:val="center"/>
        <w:rPr>
          <w:b/>
        </w:rPr>
      </w:pPr>
    </w:p>
    <w:p w:rsidR="00A036C4" w:rsidRDefault="00A036C4" w:rsidP="0090101B">
      <w:pPr>
        <w:autoSpaceDE w:val="0"/>
        <w:autoSpaceDN w:val="0"/>
        <w:adjustRightInd w:val="0"/>
        <w:spacing w:line="360" w:lineRule="auto"/>
        <w:jc w:val="center"/>
        <w:rPr>
          <w:b/>
        </w:rPr>
      </w:pPr>
    </w:p>
    <w:p w:rsidR="00A036C4" w:rsidRDefault="00A036C4" w:rsidP="0090101B">
      <w:pPr>
        <w:autoSpaceDE w:val="0"/>
        <w:autoSpaceDN w:val="0"/>
        <w:adjustRightInd w:val="0"/>
        <w:spacing w:line="360" w:lineRule="auto"/>
        <w:jc w:val="center"/>
        <w:rPr>
          <w:b/>
        </w:rPr>
      </w:pPr>
    </w:p>
    <w:p w:rsidR="00A036C4" w:rsidRDefault="00A036C4" w:rsidP="0090101B">
      <w:pPr>
        <w:autoSpaceDE w:val="0"/>
        <w:autoSpaceDN w:val="0"/>
        <w:adjustRightInd w:val="0"/>
        <w:spacing w:line="360" w:lineRule="auto"/>
        <w:jc w:val="center"/>
        <w:rPr>
          <w:b/>
        </w:rPr>
      </w:pPr>
    </w:p>
    <w:p w:rsidR="00A036C4" w:rsidRDefault="00A036C4" w:rsidP="0090101B">
      <w:pPr>
        <w:autoSpaceDE w:val="0"/>
        <w:autoSpaceDN w:val="0"/>
        <w:adjustRightInd w:val="0"/>
        <w:spacing w:line="360" w:lineRule="auto"/>
        <w:jc w:val="center"/>
        <w:rPr>
          <w:b/>
        </w:rPr>
      </w:pPr>
    </w:p>
    <w:p w:rsidR="00A036C4" w:rsidRDefault="00A036C4" w:rsidP="0090101B">
      <w:pPr>
        <w:autoSpaceDE w:val="0"/>
        <w:autoSpaceDN w:val="0"/>
        <w:adjustRightInd w:val="0"/>
        <w:spacing w:line="360" w:lineRule="auto"/>
        <w:jc w:val="center"/>
        <w:rPr>
          <w:b/>
        </w:rPr>
      </w:pPr>
    </w:p>
    <w:p w:rsidR="006544BC" w:rsidRDefault="006544BC" w:rsidP="0090101B">
      <w:pPr>
        <w:autoSpaceDE w:val="0"/>
        <w:autoSpaceDN w:val="0"/>
        <w:adjustRightInd w:val="0"/>
        <w:spacing w:line="360" w:lineRule="auto"/>
        <w:jc w:val="center"/>
        <w:rPr>
          <w:b/>
        </w:rPr>
      </w:pPr>
      <w:r w:rsidRPr="00151794">
        <w:rPr>
          <w:b/>
        </w:rPr>
        <w:lastRenderedPageBreak/>
        <w:t>DAFTAR PUSTAKA</w:t>
      </w:r>
    </w:p>
    <w:p w:rsidR="002A6265" w:rsidRPr="002A6265" w:rsidRDefault="002A6265" w:rsidP="002A6265">
      <w:pPr>
        <w:pStyle w:val="ListParagraph"/>
        <w:tabs>
          <w:tab w:val="left" w:pos="360"/>
        </w:tabs>
        <w:spacing w:line="240" w:lineRule="auto"/>
        <w:ind w:left="360" w:hanging="360"/>
      </w:pPr>
      <w:r w:rsidRPr="002A6265">
        <w:t xml:space="preserve">Brigham, Eugene F. dan Joel F. Houton. 2006. </w:t>
      </w:r>
      <w:r w:rsidRPr="002A6265">
        <w:rPr>
          <w:i/>
        </w:rPr>
        <w:t>Dasar-dasar Manajemen Keuangan</w:t>
      </w:r>
      <w:r w:rsidRPr="002A6265">
        <w:t>. Edisi Sepuluh. Terjemahan oleh Ali Akbar Yulianto. Buku Dua. Salemba Empat Jakarta.</w:t>
      </w:r>
    </w:p>
    <w:p w:rsidR="002A6265" w:rsidRPr="002A6265" w:rsidRDefault="002A6265" w:rsidP="002A6265">
      <w:pPr>
        <w:pStyle w:val="ListParagraph"/>
        <w:tabs>
          <w:tab w:val="left" w:pos="360"/>
        </w:tabs>
        <w:spacing w:line="240" w:lineRule="auto"/>
        <w:ind w:left="360" w:hanging="360"/>
      </w:pPr>
    </w:p>
    <w:p w:rsidR="002A6265" w:rsidRPr="002A6265" w:rsidRDefault="002A6265" w:rsidP="002A6265">
      <w:pPr>
        <w:pStyle w:val="ListParagraph"/>
        <w:tabs>
          <w:tab w:val="left" w:pos="360"/>
        </w:tabs>
        <w:spacing w:line="240" w:lineRule="auto"/>
        <w:ind w:left="360" w:hanging="360"/>
      </w:pPr>
      <w:r w:rsidRPr="002A6265">
        <w:t xml:space="preserve">Buletin Bisnis. 10 Juli 2015. </w:t>
      </w:r>
      <w:r w:rsidRPr="002A6265">
        <w:rPr>
          <w:i/>
        </w:rPr>
        <w:t>Investasi Industri Kimia Dasar Melonjak</w:t>
      </w:r>
      <w:r w:rsidRPr="002A6265">
        <w:t xml:space="preserve"> (</w:t>
      </w:r>
      <w:r w:rsidRPr="002A6265">
        <w:rPr>
          <w:i/>
        </w:rPr>
        <w:t>On Line)</w:t>
      </w:r>
      <w:r w:rsidRPr="002A6265">
        <w:t xml:space="preserve">, tersedia di </w:t>
      </w:r>
      <w:hyperlink r:id="rId9" w:history="1">
        <w:r w:rsidRPr="002A6265">
          <w:rPr>
            <w:rStyle w:val="Hyperlink"/>
            <w:color w:val="auto"/>
          </w:rPr>
          <w:t>www.buletinbisnis.wordpress.com</w:t>
        </w:r>
      </w:hyperlink>
      <w:r w:rsidRPr="002A6265">
        <w:t xml:space="preserve">. </w:t>
      </w:r>
    </w:p>
    <w:p w:rsidR="002A6265" w:rsidRPr="002A6265" w:rsidRDefault="002A6265" w:rsidP="002A6265">
      <w:pPr>
        <w:pStyle w:val="ListParagraph"/>
        <w:tabs>
          <w:tab w:val="left" w:pos="360"/>
        </w:tabs>
        <w:spacing w:line="240" w:lineRule="auto"/>
        <w:ind w:left="360" w:hanging="360"/>
      </w:pPr>
    </w:p>
    <w:p w:rsidR="002A6265" w:rsidRPr="002A6265" w:rsidRDefault="002A6265" w:rsidP="002A6265">
      <w:pPr>
        <w:pStyle w:val="ListParagraph"/>
        <w:tabs>
          <w:tab w:val="left" w:pos="360"/>
        </w:tabs>
        <w:spacing w:line="240" w:lineRule="auto"/>
        <w:ind w:left="360" w:hanging="360"/>
      </w:pPr>
      <w:r w:rsidRPr="002A6265">
        <w:t xml:space="preserve">Bursa Efek Indonesia. 2015. </w:t>
      </w:r>
      <w:r w:rsidRPr="002A6265">
        <w:rPr>
          <w:i/>
        </w:rPr>
        <w:t>Data Emiten di Bursa Efek Indonesia dan Laporan Keuangannya (On Line)</w:t>
      </w:r>
      <w:r w:rsidRPr="002A6265">
        <w:t xml:space="preserve">, tersedia di </w:t>
      </w:r>
      <w:hyperlink r:id="rId10" w:history="1">
        <w:r w:rsidRPr="002A6265">
          <w:rPr>
            <w:rStyle w:val="Hyperlink"/>
            <w:color w:val="auto"/>
          </w:rPr>
          <w:t>www.idx.co.id</w:t>
        </w:r>
      </w:hyperlink>
      <w:r w:rsidRPr="002A6265">
        <w:t xml:space="preserve">. </w:t>
      </w:r>
    </w:p>
    <w:p w:rsidR="002A6265" w:rsidRPr="002A6265" w:rsidRDefault="002A6265" w:rsidP="002A6265">
      <w:pPr>
        <w:pStyle w:val="ListParagraph"/>
        <w:tabs>
          <w:tab w:val="left" w:pos="360"/>
        </w:tabs>
        <w:spacing w:line="240" w:lineRule="auto"/>
        <w:ind w:left="360" w:hanging="360"/>
      </w:pPr>
    </w:p>
    <w:p w:rsidR="002A6265" w:rsidRPr="002A6265" w:rsidRDefault="002A6265" w:rsidP="002A6265">
      <w:pPr>
        <w:pStyle w:val="ListParagraph"/>
        <w:tabs>
          <w:tab w:val="left" w:pos="360"/>
        </w:tabs>
        <w:spacing w:line="240" w:lineRule="auto"/>
        <w:ind w:left="360" w:hanging="360"/>
      </w:pPr>
      <w:r w:rsidRPr="002A6265">
        <w:t xml:space="preserve">Fahmi, Irham. 2013. </w:t>
      </w:r>
      <w:r w:rsidRPr="002A6265">
        <w:rPr>
          <w:i/>
        </w:rPr>
        <w:t>Pengantar Pasar Modal</w:t>
      </w:r>
      <w:r w:rsidRPr="002A6265">
        <w:rPr>
          <w:b/>
        </w:rPr>
        <w:t xml:space="preserve">. </w:t>
      </w:r>
      <w:r w:rsidRPr="002A6265">
        <w:t>Alfabeta. Bandung.</w:t>
      </w:r>
    </w:p>
    <w:p w:rsidR="002A6265" w:rsidRPr="002A6265" w:rsidRDefault="002A6265" w:rsidP="002A6265">
      <w:pPr>
        <w:pStyle w:val="ListParagraph"/>
        <w:tabs>
          <w:tab w:val="left" w:pos="360"/>
        </w:tabs>
        <w:spacing w:line="240" w:lineRule="auto"/>
        <w:ind w:left="360" w:hanging="360"/>
      </w:pPr>
    </w:p>
    <w:p w:rsidR="002A6265" w:rsidRPr="002A6265" w:rsidRDefault="002A6265" w:rsidP="002A6265">
      <w:pPr>
        <w:pStyle w:val="ListParagraph"/>
        <w:tabs>
          <w:tab w:val="left" w:pos="360"/>
        </w:tabs>
        <w:spacing w:line="240" w:lineRule="auto"/>
        <w:ind w:left="360" w:hanging="360"/>
      </w:pPr>
      <w:r w:rsidRPr="002A6265">
        <w:t xml:space="preserve">Ghozali, Imam. 2011. </w:t>
      </w:r>
      <w:r w:rsidRPr="002A6265">
        <w:rPr>
          <w:i/>
        </w:rPr>
        <w:t xml:space="preserve">Aplikasi Analisis Multivariate Dengan Program IBM SPSS 19 </w:t>
      </w:r>
      <w:r w:rsidRPr="002A6265">
        <w:t>Edisi Kelima.</w:t>
      </w:r>
      <w:r w:rsidRPr="002A6265">
        <w:rPr>
          <w:i/>
        </w:rPr>
        <w:t xml:space="preserve"> </w:t>
      </w:r>
      <w:r w:rsidRPr="002A6265">
        <w:t>Semarang : Universitas Diponegoro.</w:t>
      </w:r>
    </w:p>
    <w:p w:rsidR="002A6265" w:rsidRPr="002A6265" w:rsidRDefault="002A6265" w:rsidP="002A6265">
      <w:pPr>
        <w:pStyle w:val="ListParagraph"/>
        <w:tabs>
          <w:tab w:val="left" w:pos="360"/>
        </w:tabs>
        <w:spacing w:line="240" w:lineRule="auto"/>
        <w:ind w:left="360" w:hanging="360"/>
      </w:pPr>
    </w:p>
    <w:p w:rsidR="002A6265" w:rsidRPr="002A6265" w:rsidRDefault="002A6265" w:rsidP="002A6265">
      <w:pPr>
        <w:pStyle w:val="ListParagraph"/>
        <w:tabs>
          <w:tab w:val="left" w:pos="360"/>
        </w:tabs>
        <w:spacing w:line="240" w:lineRule="auto"/>
        <w:ind w:left="360" w:hanging="360"/>
      </w:pPr>
      <w:r w:rsidRPr="002A6265">
        <w:t xml:space="preserve">Husnan, Suad. 2008. </w:t>
      </w:r>
      <w:r w:rsidRPr="002A6265">
        <w:rPr>
          <w:i/>
        </w:rPr>
        <w:t>Dasar-dasar Teori Portofolio &amp; Analisis Sekuritas</w:t>
      </w:r>
      <w:r w:rsidRPr="002A6265">
        <w:t xml:space="preserve">. Edisi Keempat. Penerbit : UPP STIM YKPN. </w:t>
      </w:r>
    </w:p>
    <w:p w:rsidR="002A6265" w:rsidRPr="002A6265" w:rsidRDefault="002A6265" w:rsidP="002A6265">
      <w:pPr>
        <w:pStyle w:val="ListParagraph"/>
        <w:tabs>
          <w:tab w:val="left" w:pos="360"/>
        </w:tabs>
        <w:spacing w:line="240" w:lineRule="auto"/>
        <w:ind w:left="360" w:hanging="360"/>
      </w:pPr>
    </w:p>
    <w:p w:rsidR="002A6265" w:rsidRPr="002A6265" w:rsidRDefault="002A6265" w:rsidP="002A6265">
      <w:pPr>
        <w:pStyle w:val="ListParagraph"/>
        <w:tabs>
          <w:tab w:val="left" w:pos="360"/>
        </w:tabs>
        <w:spacing w:line="240" w:lineRule="auto"/>
        <w:ind w:left="360" w:hanging="360"/>
      </w:pPr>
      <w:r w:rsidRPr="002A6265">
        <w:t xml:space="preserve">Kasmir. 2010. </w:t>
      </w:r>
      <w:r w:rsidRPr="002A6265">
        <w:rPr>
          <w:i/>
        </w:rPr>
        <w:t>Bank dan Lembaga Keuangan Lainnya</w:t>
      </w:r>
      <w:r w:rsidRPr="002A6265">
        <w:t>. Rajawali Pers. Jakarta.</w:t>
      </w:r>
    </w:p>
    <w:p w:rsidR="002A6265" w:rsidRPr="002A6265" w:rsidRDefault="002A6265" w:rsidP="002A6265">
      <w:pPr>
        <w:pStyle w:val="ListParagraph"/>
        <w:spacing w:line="240" w:lineRule="auto"/>
        <w:ind w:left="0"/>
      </w:pPr>
    </w:p>
    <w:p w:rsidR="002A6265" w:rsidRPr="002A6265" w:rsidRDefault="002A6265" w:rsidP="002A6265">
      <w:pPr>
        <w:pStyle w:val="ListParagraph"/>
        <w:spacing w:line="240" w:lineRule="auto"/>
        <w:ind w:left="360" w:hanging="360"/>
      </w:pPr>
      <w:r w:rsidRPr="002A6265">
        <w:t xml:space="preserve">Kuncoro, Mudrajad. 2009. </w:t>
      </w:r>
      <w:r w:rsidRPr="002A6265">
        <w:rPr>
          <w:i/>
        </w:rPr>
        <w:t>Metode Riset untuk Bisnis dan Ekonomi</w:t>
      </w:r>
      <w:r w:rsidRPr="002A6265">
        <w:t xml:space="preserve">. Erlangga. Jakarta. </w:t>
      </w:r>
    </w:p>
    <w:p w:rsidR="002A6265" w:rsidRPr="002A6265" w:rsidRDefault="002A6265" w:rsidP="002A6265">
      <w:pPr>
        <w:pStyle w:val="ListParagraph"/>
        <w:spacing w:line="240" w:lineRule="auto"/>
        <w:ind w:left="0"/>
      </w:pPr>
    </w:p>
    <w:p w:rsidR="002A6265" w:rsidRPr="002A6265" w:rsidRDefault="002A6265" w:rsidP="002A6265">
      <w:pPr>
        <w:pStyle w:val="ListParagraph"/>
        <w:spacing w:line="240" w:lineRule="auto"/>
        <w:ind w:left="0"/>
      </w:pPr>
      <w:r w:rsidRPr="002A6265">
        <w:t xml:space="preserve">Mulyana, Deddy, M.A.,Ph.D. 2010. </w:t>
      </w:r>
      <w:r w:rsidRPr="002A6265">
        <w:rPr>
          <w:i/>
        </w:rPr>
        <w:t xml:space="preserve"> Metode Penelitian Kualitatif. </w:t>
      </w:r>
      <w:r w:rsidRPr="002A6265">
        <w:t>Rosda. Jakarta.</w:t>
      </w:r>
    </w:p>
    <w:p w:rsidR="002A6265" w:rsidRPr="002A6265" w:rsidRDefault="002A6265" w:rsidP="002A6265">
      <w:pPr>
        <w:pStyle w:val="ListParagraph"/>
        <w:spacing w:line="240" w:lineRule="auto"/>
        <w:ind w:left="0"/>
      </w:pPr>
    </w:p>
    <w:p w:rsidR="002A6265" w:rsidRPr="002A6265" w:rsidRDefault="002A6265" w:rsidP="002A6265">
      <w:pPr>
        <w:pStyle w:val="ListParagraph"/>
        <w:tabs>
          <w:tab w:val="left" w:pos="360"/>
        </w:tabs>
        <w:spacing w:line="240" w:lineRule="auto"/>
        <w:ind w:left="360" w:hanging="360"/>
      </w:pPr>
      <w:r w:rsidRPr="002A6265">
        <w:t xml:space="preserve">Otoritas Jasa Keuangan. 2015. </w:t>
      </w:r>
      <w:r w:rsidRPr="002A6265">
        <w:rPr>
          <w:i/>
        </w:rPr>
        <w:t>Data Kapitalisasi Pasar per 31 Desember 2014 (On Line)</w:t>
      </w:r>
      <w:r w:rsidRPr="002A6265">
        <w:t xml:space="preserve">, tersedia di </w:t>
      </w:r>
      <w:hyperlink r:id="rId11" w:history="1">
        <w:r w:rsidRPr="002A6265">
          <w:rPr>
            <w:rStyle w:val="Hyperlink"/>
            <w:color w:val="auto"/>
          </w:rPr>
          <w:t>www.SahamOk.com</w:t>
        </w:r>
      </w:hyperlink>
      <w:r w:rsidRPr="002A6265">
        <w:t xml:space="preserve">. </w:t>
      </w:r>
    </w:p>
    <w:p w:rsidR="002A6265" w:rsidRPr="002A6265" w:rsidRDefault="002A6265" w:rsidP="002A6265">
      <w:pPr>
        <w:pStyle w:val="ListParagraph"/>
        <w:tabs>
          <w:tab w:val="left" w:pos="360"/>
        </w:tabs>
        <w:spacing w:line="240" w:lineRule="auto"/>
        <w:ind w:left="360" w:hanging="360"/>
      </w:pPr>
    </w:p>
    <w:p w:rsidR="002A6265" w:rsidRPr="002A6265" w:rsidRDefault="002A6265" w:rsidP="002A6265">
      <w:pPr>
        <w:pStyle w:val="ListParagraph"/>
        <w:tabs>
          <w:tab w:val="left" w:pos="360"/>
        </w:tabs>
        <w:spacing w:line="240" w:lineRule="auto"/>
        <w:ind w:left="360" w:hanging="360"/>
      </w:pPr>
      <w:r w:rsidRPr="002A6265">
        <w:t xml:space="preserve">Sudana, I Made. 2011. </w:t>
      </w:r>
      <w:r w:rsidRPr="002A6265">
        <w:rPr>
          <w:i/>
        </w:rPr>
        <w:t>Manajemen keuangan perusahaan Teori dan Praktik</w:t>
      </w:r>
      <w:r w:rsidRPr="002A6265">
        <w:t>. Jakarta: Erlangga.</w:t>
      </w:r>
    </w:p>
    <w:p w:rsidR="002A6265" w:rsidRPr="002A6265" w:rsidRDefault="002A6265" w:rsidP="002A6265">
      <w:pPr>
        <w:pStyle w:val="ListParagraph"/>
        <w:spacing w:line="240" w:lineRule="auto"/>
        <w:ind w:left="0"/>
      </w:pPr>
    </w:p>
    <w:p w:rsidR="002A6265" w:rsidRPr="002A6265" w:rsidRDefault="002A6265" w:rsidP="002A6265">
      <w:pPr>
        <w:pStyle w:val="ListParagraph"/>
        <w:tabs>
          <w:tab w:val="left" w:pos="360"/>
        </w:tabs>
        <w:spacing w:line="240" w:lineRule="auto"/>
        <w:ind w:left="360" w:hanging="360"/>
      </w:pPr>
      <w:r w:rsidRPr="002A6265">
        <w:t xml:space="preserve">Sugiyono. 2010. </w:t>
      </w:r>
      <w:r w:rsidRPr="002A6265">
        <w:rPr>
          <w:i/>
        </w:rPr>
        <w:t>Metode Penelitian Kuantitatif Kualitatif Dan R&amp;D</w:t>
      </w:r>
      <w:r w:rsidRPr="002A6265">
        <w:t>. Alfabeta. Bandung.</w:t>
      </w:r>
    </w:p>
    <w:p w:rsidR="002A6265" w:rsidRPr="002A6265" w:rsidRDefault="002A6265" w:rsidP="002A6265">
      <w:pPr>
        <w:pStyle w:val="ListParagraph"/>
        <w:tabs>
          <w:tab w:val="left" w:pos="360"/>
        </w:tabs>
        <w:spacing w:line="240" w:lineRule="auto"/>
        <w:ind w:left="360" w:hanging="360"/>
      </w:pPr>
    </w:p>
    <w:p w:rsidR="002A6265" w:rsidRPr="002A6265" w:rsidRDefault="002A6265" w:rsidP="002A6265">
      <w:pPr>
        <w:pStyle w:val="ListParagraph"/>
        <w:tabs>
          <w:tab w:val="left" w:pos="360"/>
        </w:tabs>
        <w:spacing w:line="240" w:lineRule="auto"/>
        <w:ind w:left="360" w:hanging="360"/>
      </w:pPr>
      <w:r w:rsidRPr="002A6265">
        <w:t xml:space="preserve">Sugiyono. 2013. </w:t>
      </w:r>
      <w:r w:rsidRPr="002A6265">
        <w:rPr>
          <w:i/>
        </w:rPr>
        <w:t>Metode Penelitian Manajemen</w:t>
      </w:r>
      <w:r w:rsidRPr="002A6265">
        <w:t>. Alfabeta. Bandung.</w:t>
      </w:r>
    </w:p>
    <w:p w:rsidR="002A6265" w:rsidRPr="002A6265" w:rsidRDefault="002A6265" w:rsidP="002A6265">
      <w:pPr>
        <w:pStyle w:val="ListParagraph"/>
        <w:tabs>
          <w:tab w:val="left" w:pos="360"/>
        </w:tabs>
        <w:spacing w:line="240" w:lineRule="auto"/>
        <w:ind w:left="360" w:hanging="360"/>
      </w:pPr>
    </w:p>
    <w:p w:rsidR="002A6265" w:rsidRPr="002A6265" w:rsidRDefault="002A6265" w:rsidP="002A6265">
      <w:pPr>
        <w:pStyle w:val="ListParagraph"/>
        <w:tabs>
          <w:tab w:val="left" w:pos="360"/>
        </w:tabs>
        <w:spacing w:line="240" w:lineRule="auto"/>
        <w:ind w:left="360" w:hanging="360"/>
      </w:pPr>
      <w:r w:rsidRPr="002A6265">
        <w:t xml:space="preserve">Suharli, Michael. 2007. </w:t>
      </w:r>
      <w:r w:rsidRPr="002A6265">
        <w:rPr>
          <w:i/>
        </w:rPr>
        <w:t>Akuntansi untuk Bisnis Jasa dan Dagang</w:t>
      </w:r>
      <w:r w:rsidRPr="002A6265">
        <w:t>. Edisi Pertama. Graha Ilmu. Yogyakarta.</w:t>
      </w:r>
    </w:p>
    <w:p w:rsidR="002A6265" w:rsidRPr="002A6265" w:rsidRDefault="002A6265" w:rsidP="002A6265">
      <w:pPr>
        <w:pStyle w:val="ListParagraph"/>
        <w:tabs>
          <w:tab w:val="left" w:pos="360"/>
        </w:tabs>
        <w:spacing w:line="240" w:lineRule="auto"/>
        <w:ind w:left="360" w:hanging="360"/>
      </w:pPr>
    </w:p>
    <w:p w:rsidR="002A6265" w:rsidRPr="002A6265" w:rsidRDefault="002A6265" w:rsidP="002A6265">
      <w:pPr>
        <w:pStyle w:val="ListParagraph"/>
        <w:tabs>
          <w:tab w:val="left" w:pos="360"/>
        </w:tabs>
        <w:spacing w:line="240" w:lineRule="auto"/>
        <w:ind w:left="360" w:hanging="360"/>
      </w:pPr>
      <w:r w:rsidRPr="002A6265">
        <w:t xml:space="preserve">Suharyadi dan Purwanto. 2011. </w:t>
      </w:r>
      <w:r w:rsidRPr="002A6265">
        <w:rPr>
          <w:i/>
        </w:rPr>
        <w:t>Statistika untuk Ekonomi dan Keuangan Modern</w:t>
      </w:r>
      <w:r w:rsidRPr="002A6265">
        <w:t>. Edisi Kedua. Salemba Empat. Jakarta.</w:t>
      </w:r>
    </w:p>
    <w:p w:rsidR="002A6265" w:rsidRPr="002A6265" w:rsidRDefault="002A6265" w:rsidP="002A6265">
      <w:pPr>
        <w:pStyle w:val="ListParagraph"/>
        <w:tabs>
          <w:tab w:val="left" w:pos="360"/>
        </w:tabs>
        <w:spacing w:line="240" w:lineRule="auto"/>
        <w:ind w:left="360" w:hanging="360"/>
      </w:pPr>
    </w:p>
    <w:p w:rsidR="002A6265" w:rsidRPr="002A6265" w:rsidRDefault="002A6265" w:rsidP="002A6265">
      <w:pPr>
        <w:pStyle w:val="ListParagraph"/>
        <w:tabs>
          <w:tab w:val="left" w:pos="360"/>
        </w:tabs>
        <w:spacing w:line="240" w:lineRule="auto"/>
        <w:ind w:left="360" w:hanging="360"/>
      </w:pPr>
      <w:r w:rsidRPr="002A6265">
        <w:lastRenderedPageBreak/>
        <w:t xml:space="preserve">Sumanto. 2014. </w:t>
      </w:r>
      <w:r w:rsidRPr="002A6265">
        <w:rPr>
          <w:i/>
        </w:rPr>
        <w:t>Teori dan Aplikasi Metode Penelitian : Psikologi, Pendidikan, Ekonomi Bisnis dan Sosial</w:t>
      </w:r>
      <w:r w:rsidRPr="002A6265">
        <w:t>. Cetakan Pertama. PT. Buku Seru. Jakarta.</w:t>
      </w:r>
    </w:p>
    <w:p w:rsidR="002A6265" w:rsidRPr="002A6265" w:rsidRDefault="002A6265" w:rsidP="002A6265">
      <w:pPr>
        <w:pStyle w:val="ListParagraph"/>
        <w:tabs>
          <w:tab w:val="left" w:pos="360"/>
        </w:tabs>
        <w:spacing w:line="240" w:lineRule="auto"/>
        <w:ind w:left="360" w:hanging="360"/>
      </w:pPr>
    </w:p>
    <w:p w:rsidR="002A6265" w:rsidRPr="002A6265" w:rsidRDefault="002A6265" w:rsidP="002A6265">
      <w:pPr>
        <w:pStyle w:val="ListParagraph"/>
        <w:tabs>
          <w:tab w:val="left" w:pos="360"/>
        </w:tabs>
        <w:spacing w:line="240" w:lineRule="auto"/>
        <w:ind w:left="360" w:hanging="360"/>
      </w:pPr>
      <w:r w:rsidRPr="002A6265">
        <w:t xml:space="preserve">Tandelilin, Eduardus. 2010. </w:t>
      </w:r>
      <w:r w:rsidRPr="002A6265">
        <w:rPr>
          <w:i/>
        </w:rPr>
        <w:t>Portofolio dan Investasi : Teori dan Aplikasi</w:t>
      </w:r>
      <w:r w:rsidRPr="002A6265">
        <w:t>. Edisi Pertama. Penerbit : Kanisius. Jakarta.</w:t>
      </w:r>
    </w:p>
    <w:p w:rsidR="002A6265" w:rsidRPr="002A6265" w:rsidRDefault="002A6265" w:rsidP="002A6265">
      <w:pPr>
        <w:pStyle w:val="ListParagraph"/>
        <w:tabs>
          <w:tab w:val="left" w:pos="360"/>
        </w:tabs>
        <w:spacing w:line="240" w:lineRule="auto"/>
        <w:ind w:left="360" w:hanging="360"/>
      </w:pPr>
    </w:p>
    <w:p w:rsidR="002A6265" w:rsidRPr="002A6265" w:rsidRDefault="002A6265" w:rsidP="002A6265">
      <w:pPr>
        <w:pStyle w:val="ListParagraph"/>
        <w:tabs>
          <w:tab w:val="left" w:pos="360"/>
        </w:tabs>
        <w:spacing w:line="240" w:lineRule="auto"/>
        <w:ind w:left="360" w:hanging="360"/>
      </w:pPr>
      <w:r w:rsidRPr="002A6265">
        <w:t xml:space="preserve">Wahyudi, Untung dan Hartini Prasetyaning Pawestri. 2006. </w:t>
      </w:r>
      <w:r w:rsidRPr="002A6265">
        <w:rPr>
          <w:i/>
        </w:rPr>
        <w:t>Implikasi Struktur Kepemilikan terhadap Nilai Perusahaan : dengan Keputusan Keuangan sebagai Variabel Intervening</w:t>
      </w:r>
      <w:r w:rsidRPr="002A6265">
        <w:t>. Simposium Nasional  Jurnal Akuntansi IX. h: 92-112 Padang.</w:t>
      </w:r>
    </w:p>
    <w:p w:rsidR="002A6265" w:rsidRPr="002A6265" w:rsidRDefault="002A6265" w:rsidP="002A6265">
      <w:pPr>
        <w:pStyle w:val="ListParagraph"/>
        <w:tabs>
          <w:tab w:val="left" w:pos="360"/>
        </w:tabs>
        <w:spacing w:line="240" w:lineRule="auto"/>
        <w:ind w:left="360" w:hanging="360"/>
      </w:pPr>
    </w:p>
    <w:p w:rsidR="002A6265" w:rsidRPr="002A6265" w:rsidRDefault="002A6265" w:rsidP="002A6265">
      <w:pPr>
        <w:pStyle w:val="ListParagraph"/>
        <w:tabs>
          <w:tab w:val="left" w:pos="360"/>
        </w:tabs>
        <w:spacing w:line="240" w:lineRule="auto"/>
        <w:ind w:left="360" w:hanging="360"/>
      </w:pPr>
      <w:r w:rsidRPr="002A6265">
        <w:t xml:space="preserve">Wiagustini, Ni Luh Putu. 2010. </w:t>
      </w:r>
      <w:r w:rsidRPr="002A6265">
        <w:rPr>
          <w:i/>
        </w:rPr>
        <w:t>Dasar-dasar Manajemen Keuangan Cetakan Pertama</w:t>
      </w:r>
      <w:r w:rsidRPr="002A6265">
        <w:t>. Udayana University Press. Denpasar.</w:t>
      </w:r>
    </w:p>
    <w:p w:rsidR="006544BC" w:rsidRPr="002A6265" w:rsidRDefault="006544BC" w:rsidP="0090101B">
      <w:pPr>
        <w:spacing w:line="360" w:lineRule="auto"/>
        <w:ind w:left="720" w:hanging="720"/>
      </w:pPr>
    </w:p>
    <w:p w:rsidR="006544BC" w:rsidRPr="006544BC" w:rsidRDefault="006544BC" w:rsidP="0090101B">
      <w:pPr>
        <w:tabs>
          <w:tab w:val="left" w:pos="1620"/>
        </w:tabs>
        <w:spacing w:line="360" w:lineRule="auto"/>
        <w:rPr>
          <w:rFonts w:asciiTheme="majorBidi" w:hAnsiTheme="majorBidi" w:cstheme="majorBidi"/>
        </w:rPr>
      </w:pPr>
      <w:bookmarkStart w:id="0" w:name="_GoBack"/>
      <w:bookmarkEnd w:id="0"/>
    </w:p>
    <w:sectPr w:rsidR="006544BC" w:rsidRPr="006544BC" w:rsidSect="002A6265">
      <w:headerReference w:type="default" r:id="rId12"/>
      <w:footerReference w:type="even" r:id="rId13"/>
      <w:footerReference w:type="first" r:id="rId14"/>
      <w:pgSz w:w="12240" w:h="15840"/>
      <w:pgMar w:top="1620"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7BC" w:rsidRDefault="00AE17BC" w:rsidP="00813AFA">
      <w:pPr>
        <w:spacing w:line="240" w:lineRule="auto"/>
      </w:pPr>
      <w:r>
        <w:separator/>
      </w:r>
    </w:p>
  </w:endnote>
  <w:endnote w:type="continuationSeparator" w:id="1">
    <w:p w:rsidR="00AE17BC" w:rsidRDefault="00AE17BC" w:rsidP="00813A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C2" w:rsidRDefault="00F649C2">
    <w:pPr>
      <w:pStyle w:val="Footer"/>
      <w:jc w:val="center"/>
    </w:pPr>
  </w:p>
  <w:p w:rsidR="00F649C2" w:rsidRDefault="00F649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545806"/>
      <w:docPartObj>
        <w:docPartGallery w:val="Page Numbers (Bottom of Page)"/>
        <w:docPartUnique/>
      </w:docPartObj>
    </w:sdtPr>
    <w:sdtEndPr>
      <w:rPr>
        <w:noProof/>
      </w:rPr>
    </w:sdtEndPr>
    <w:sdtContent>
      <w:p w:rsidR="00F649C2" w:rsidRDefault="00F649C2">
        <w:pPr>
          <w:pStyle w:val="Footer"/>
          <w:jc w:val="center"/>
        </w:pPr>
        <w:fldSimple w:instr=" PAGE   \* MERGEFORMAT ">
          <w:r w:rsidR="007A73A9">
            <w:rPr>
              <w:noProof/>
            </w:rPr>
            <w:t>1</w:t>
          </w:r>
        </w:fldSimple>
      </w:p>
    </w:sdtContent>
  </w:sdt>
  <w:p w:rsidR="00F649C2" w:rsidRPr="00813AFA" w:rsidRDefault="00F649C2" w:rsidP="00813AFA">
    <w:pPr>
      <w:pStyle w:val="Footer"/>
      <w:jc w:val="cen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7BC" w:rsidRDefault="00AE17BC" w:rsidP="00813AFA">
      <w:pPr>
        <w:spacing w:line="240" w:lineRule="auto"/>
      </w:pPr>
      <w:r>
        <w:separator/>
      </w:r>
    </w:p>
  </w:footnote>
  <w:footnote w:type="continuationSeparator" w:id="1">
    <w:p w:rsidR="00AE17BC" w:rsidRDefault="00AE17BC" w:rsidP="00813A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545818"/>
      <w:docPartObj>
        <w:docPartGallery w:val="Page Numbers (Top of Page)"/>
        <w:docPartUnique/>
      </w:docPartObj>
    </w:sdtPr>
    <w:sdtContent>
      <w:p w:rsidR="002A6265" w:rsidRDefault="002A6265">
        <w:pPr>
          <w:pStyle w:val="Header"/>
          <w:jc w:val="right"/>
        </w:pPr>
        <w:fldSimple w:instr=" PAGE   \* MERGEFORMAT ">
          <w:r w:rsidR="007A73A9">
            <w:rPr>
              <w:noProof/>
            </w:rPr>
            <w:t>15</w:t>
          </w:r>
        </w:fldSimple>
      </w:p>
    </w:sdtContent>
  </w:sdt>
  <w:p w:rsidR="00F649C2" w:rsidRDefault="00F649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580F"/>
    <w:multiLevelType w:val="hybridMultilevel"/>
    <w:tmpl w:val="30A0DA54"/>
    <w:lvl w:ilvl="0" w:tplc="62CC9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DD72A1"/>
    <w:multiLevelType w:val="hybridMultilevel"/>
    <w:tmpl w:val="C47C6DF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35181254"/>
    <w:multiLevelType w:val="hybridMultilevel"/>
    <w:tmpl w:val="599C396E"/>
    <w:lvl w:ilvl="0" w:tplc="A612AB00">
      <w:start w:val="1"/>
      <w:numFmt w:val="decimal"/>
      <w:lvlText w:val="%1."/>
      <w:lvlJc w:val="left"/>
      <w:pPr>
        <w:ind w:left="1080" w:hanging="360"/>
      </w:pPr>
      <w:rPr>
        <w:rFonts w:hint="default"/>
        <w:b w:val="0"/>
        <w:color w:val="auto"/>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B00796"/>
    <w:multiLevelType w:val="hybridMultilevel"/>
    <w:tmpl w:val="8B663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D2A29"/>
    <w:multiLevelType w:val="hybridMultilevel"/>
    <w:tmpl w:val="04382FD6"/>
    <w:lvl w:ilvl="0" w:tplc="F2D202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118407A"/>
    <w:multiLevelType w:val="hybridMultilevel"/>
    <w:tmpl w:val="B042552E"/>
    <w:lvl w:ilvl="0" w:tplc="30C67C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DC7DB0"/>
    <w:multiLevelType w:val="hybridMultilevel"/>
    <w:tmpl w:val="737261D2"/>
    <w:lvl w:ilvl="0" w:tplc="1548C514">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56B35A29"/>
    <w:multiLevelType w:val="hybridMultilevel"/>
    <w:tmpl w:val="4732D0B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434682D"/>
    <w:multiLevelType w:val="hybridMultilevel"/>
    <w:tmpl w:val="DBA4E4C6"/>
    <w:lvl w:ilvl="0" w:tplc="373E9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6CE3F70"/>
    <w:multiLevelType w:val="hybridMultilevel"/>
    <w:tmpl w:val="7FE6353E"/>
    <w:lvl w:ilvl="0" w:tplc="4CA606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8204E60"/>
    <w:multiLevelType w:val="hybridMultilevel"/>
    <w:tmpl w:val="2BA4B9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6C3F1C"/>
    <w:multiLevelType w:val="hybridMultilevel"/>
    <w:tmpl w:val="69DCB0B8"/>
    <w:lvl w:ilvl="0" w:tplc="6EC62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0"/>
  </w:num>
  <w:num w:numId="4">
    <w:abstractNumId w:val="6"/>
  </w:num>
  <w:num w:numId="5">
    <w:abstractNumId w:val="0"/>
  </w:num>
  <w:num w:numId="6">
    <w:abstractNumId w:val="8"/>
  </w:num>
  <w:num w:numId="7">
    <w:abstractNumId w:val="1"/>
  </w:num>
  <w:num w:numId="8">
    <w:abstractNumId w:val="11"/>
  </w:num>
  <w:num w:numId="9">
    <w:abstractNumId w:val="2"/>
  </w:num>
  <w:num w:numId="10">
    <w:abstractNumId w:val="5"/>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42B6A"/>
    <w:rsid w:val="00076545"/>
    <w:rsid w:val="000B749D"/>
    <w:rsid w:val="000B7A14"/>
    <w:rsid w:val="00125D2D"/>
    <w:rsid w:val="0013486E"/>
    <w:rsid w:val="00142B6A"/>
    <w:rsid w:val="0016500E"/>
    <w:rsid w:val="001A0847"/>
    <w:rsid w:val="001B2013"/>
    <w:rsid w:val="001E2FEA"/>
    <w:rsid w:val="002371ED"/>
    <w:rsid w:val="00251C13"/>
    <w:rsid w:val="00275471"/>
    <w:rsid w:val="00295305"/>
    <w:rsid w:val="002A6265"/>
    <w:rsid w:val="003864B2"/>
    <w:rsid w:val="004362F4"/>
    <w:rsid w:val="005727D8"/>
    <w:rsid w:val="006544BC"/>
    <w:rsid w:val="00656920"/>
    <w:rsid w:val="00707F9A"/>
    <w:rsid w:val="00747C27"/>
    <w:rsid w:val="007A73A9"/>
    <w:rsid w:val="00813AFA"/>
    <w:rsid w:val="0090101B"/>
    <w:rsid w:val="00936B31"/>
    <w:rsid w:val="009B6096"/>
    <w:rsid w:val="00A036C4"/>
    <w:rsid w:val="00A45D6A"/>
    <w:rsid w:val="00AE17BC"/>
    <w:rsid w:val="00DA63EC"/>
    <w:rsid w:val="00E33092"/>
    <w:rsid w:val="00ED337D"/>
    <w:rsid w:val="00EE6BB7"/>
    <w:rsid w:val="00F649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6A"/>
    <w:pPr>
      <w:spacing w:after="0" w:line="480" w:lineRule="auto"/>
      <w:jc w:val="both"/>
    </w:pPr>
    <w:rPr>
      <w:rFonts w:ascii="Times New Roman" w:eastAsia="Calibri" w:hAnsi="Times New Roman" w:cs="Times New Roman"/>
      <w:sz w:val="24"/>
      <w:szCs w:val="24"/>
    </w:rPr>
  </w:style>
  <w:style w:type="paragraph" w:styleId="Heading3">
    <w:name w:val="heading 3"/>
    <w:basedOn w:val="Normal"/>
    <w:link w:val="Heading3Char"/>
    <w:uiPriority w:val="9"/>
    <w:qFormat/>
    <w:rsid w:val="00142B6A"/>
    <w:pPr>
      <w:spacing w:before="100" w:beforeAutospacing="1" w:after="100" w:afterAutospacing="1" w:line="240" w:lineRule="auto"/>
      <w:jc w:val="left"/>
      <w:outlineLvl w:val="2"/>
    </w:pPr>
    <w:rPr>
      <w:rFonts w:eastAsia="Times New Roman"/>
      <w:b/>
      <w:bCs/>
      <w:sz w:val="27"/>
      <w:szCs w:val="27"/>
    </w:rPr>
  </w:style>
  <w:style w:type="paragraph" w:styleId="Heading4">
    <w:name w:val="heading 4"/>
    <w:basedOn w:val="Normal"/>
    <w:link w:val="Heading4Char"/>
    <w:uiPriority w:val="9"/>
    <w:qFormat/>
    <w:rsid w:val="00142B6A"/>
    <w:pPr>
      <w:spacing w:before="100" w:beforeAutospacing="1" w:after="100" w:afterAutospacing="1" w:line="240" w:lineRule="auto"/>
      <w:jc w:val="left"/>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B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2B6A"/>
    <w:rPr>
      <w:rFonts w:ascii="Times New Roman" w:eastAsia="Times New Roman" w:hAnsi="Times New Roman" w:cs="Times New Roman"/>
      <w:b/>
      <w:bCs/>
      <w:sz w:val="24"/>
      <w:szCs w:val="24"/>
    </w:rPr>
  </w:style>
  <w:style w:type="paragraph" w:styleId="NoSpacing">
    <w:name w:val="No Spacing"/>
    <w:uiPriority w:val="1"/>
    <w:qFormat/>
    <w:rsid w:val="00142B6A"/>
    <w:pPr>
      <w:spacing w:after="0" w:line="240" w:lineRule="auto"/>
    </w:pPr>
  </w:style>
  <w:style w:type="character" w:styleId="Emphasis">
    <w:name w:val="Emphasis"/>
    <w:basedOn w:val="DefaultParagraphFont"/>
    <w:uiPriority w:val="20"/>
    <w:qFormat/>
    <w:rsid w:val="00142B6A"/>
    <w:rPr>
      <w:i/>
      <w:iCs/>
    </w:rPr>
  </w:style>
  <w:style w:type="paragraph" w:styleId="ListParagraph">
    <w:name w:val="List Paragraph"/>
    <w:basedOn w:val="Normal"/>
    <w:uiPriority w:val="34"/>
    <w:qFormat/>
    <w:rsid w:val="00142B6A"/>
    <w:pPr>
      <w:ind w:left="720"/>
      <w:contextualSpacing/>
    </w:pPr>
  </w:style>
  <w:style w:type="paragraph" w:styleId="BalloonText">
    <w:name w:val="Balloon Text"/>
    <w:basedOn w:val="Normal"/>
    <w:link w:val="BalloonTextChar"/>
    <w:uiPriority w:val="99"/>
    <w:semiHidden/>
    <w:unhideWhenUsed/>
    <w:rsid w:val="00125D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D2D"/>
    <w:rPr>
      <w:rFonts w:ascii="Tahoma" w:eastAsia="Calibri" w:hAnsi="Tahoma" w:cs="Tahoma"/>
      <w:sz w:val="16"/>
      <w:szCs w:val="16"/>
    </w:rPr>
  </w:style>
  <w:style w:type="paragraph" w:styleId="Header">
    <w:name w:val="header"/>
    <w:basedOn w:val="Normal"/>
    <w:link w:val="HeaderChar"/>
    <w:uiPriority w:val="99"/>
    <w:unhideWhenUsed/>
    <w:rsid w:val="00EE6BB7"/>
    <w:pPr>
      <w:tabs>
        <w:tab w:val="center" w:pos="4680"/>
        <w:tab w:val="right" w:pos="9360"/>
      </w:tabs>
      <w:spacing w:line="240" w:lineRule="auto"/>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6BB7"/>
  </w:style>
  <w:style w:type="paragraph" w:customStyle="1" w:styleId="Default">
    <w:name w:val="Default"/>
    <w:rsid w:val="006544B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4BC"/>
    <w:rPr>
      <w:color w:val="0000FF" w:themeColor="hyperlink"/>
      <w:u w:val="single"/>
    </w:rPr>
  </w:style>
  <w:style w:type="paragraph" w:styleId="Footer">
    <w:name w:val="footer"/>
    <w:basedOn w:val="Normal"/>
    <w:link w:val="FooterChar"/>
    <w:uiPriority w:val="99"/>
    <w:unhideWhenUsed/>
    <w:rsid w:val="00813AFA"/>
    <w:pPr>
      <w:tabs>
        <w:tab w:val="center" w:pos="4680"/>
        <w:tab w:val="right" w:pos="9360"/>
      </w:tabs>
      <w:spacing w:line="240" w:lineRule="auto"/>
    </w:pPr>
  </w:style>
  <w:style w:type="character" w:customStyle="1" w:styleId="FooterChar">
    <w:name w:val="Footer Char"/>
    <w:basedOn w:val="DefaultParagraphFont"/>
    <w:link w:val="Footer"/>
    <w:uiPriority w:val="99"/>
    <w:rsid w:val="00813AFA"/>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6A"/>
    <w:pPr>
      <w:spacing w:after="0" w:line="480" w:lineRule="auto"/>
      <w:jc w:val="both"/>
    </w:pPr>
    <w:rPr>
      <w:rFonts w:ascii="Times New Roman" w:eastAsia="Calibri" w:hAnsi="Times New Roman" w:cs="Times New Roman"/>
      <w:sz w:val="24"/>
      <w:szCs w:val="24"/>
    </w:rPr>
  </w:style>
  <w:style w:type="paragraph" w:styleId="Heading3">
    <w:name w:val="heading 3"/>
    <w:basedOn w:val="Normal"/>
    <w:link w:val="Heading3Char"/>
    <w:uiPriority w:val="9"/>
    <w:qFormat/>
    <w:rsid w:val="00142B6A"/>
    <w:pPr>
      <w:spacing w:before="100" w:beforeAutospacing="1" w:after="100" w:afterAutospacing="1" w:line="240" w:lineRule="auto"/>
      <w:jc w:val="left"/>
      <w:outlineLvl w:val="2"/>
    </w:pPr>
    <w:rPr>
      <w:rFonts w:eastAsia="Times New Roman"/>
      <w:b/>
      <w:bCs/>
      <w:sz w:val="27"/>
      <w:szCs w:val="27"/>
    </w:rPr>
  </w:style>
  <w:style w:type="paragraph" w:styleId="Heading4">
    <w:name w:val="heading 4"/>
    <w:basedOn w:val="Normal"/>
    <w:link w:val="Heading4Char"/>
    <w:uiPriority w:val="9"/>
    <w:qFormat/>
    <w:rsid w:val="00142B6A"/>
    <w:pPr>
      <w:spacing w:before="100" w:beforeAutospacing="1" w:after="100" w:afterAutospacing="1" w:line="240" w:lineRule="auto"/>
      <w:jc w:val="left"/>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B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2B6A"/>
    <w:rPr>
      <w:rFonts w:ascii="Times New Roman" w:eastAsia="Times New Roman" w:hAnsi="Times New Roman" w:cs="Times New Roman"/>
      <w:b/>
      <w:bCs/>
      <w:sz w:val="24"/>
      <w:szCs w:val="24"/>
    </w:rPr>
  </w:style>
  <w:style w:type="paragraph" w:styleId="NoSpacing">
    <w:name w:val="No Spacing"/>
    <w:uiPriority w:val="1"/>
    <w:qFormat/>
    <w:rsid w:val="00142B6A"/>
    <w:pPr>
      <w:spacing w:after="0" w:line="240" w:lineRule="auto"/>
    </w:pPr>
  </w:style>
  <w:style w:type="character" w:styleId="Emphasis">
    <w:name w:val="Emphasis"/>
    <w:basedOn w:val="DefaultParagraphFont"/>
    <w:uiPriority w:val="20"/>
    <w:qFormat/>
    <w:rsid w:val="00142B6A"/>
    <w:rPr>
      <w:i/>
      <w:iCs/>
    </w:rPr>
  </w:style>
  <w:style w:type="paragraph" w:styleId="ListParagraph">
    <w:name w:val="List Paragraph"/>
    <w:basedOn w:val="Normal"/>
    <w:uiPriority w:val="34"/>
    <w:qFormat/>
    <w:rsid w:val="00142B6A"/>
    <w:pPr>
      <w:ind w:left="720"/>
      <w:contextualSpacing/>
    </w:pPr>
  </w:style>
  <w:style w:type="paragraph" w:styleId="BalloonText">
    <w:name w:val="Balloon Text"/>
    <w:basedOn w:val="Normal"/>
    <w:link w:val="BalloonTextChar"/>
    <w:uiPriority w:val="99"/>
    <w:semiHidden/>
    <w:unhideWhenUsed/>
    <w:rsid w:val="00125D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D2D"/>
    <w:rPr>
      <w:rFonts w:ascii="Tahoma" w:eastAsia="Calibri" w:hAnsi="Tahoma" w:cs="Tahoma"/>
      <w:sz w:val="16"/>
      <w:szCs w:val="16"/>
    </w:rPr>
  </w:style>
  <w:style w:type="paragraph" w:styleId="Header">
    <w:name w:val="header"/>
    <w:basedOn w:val="Normal"/>
    <w:link w:val="HeaderChar"/>
    <w:uiPriority w:val="99"/>
    <w:unhideWhenUsed/>
    <w:rsid w:val="00EE6BB7"/>
    <w:pPr>
      <w:tabs>
        <w:tab w:val="center" w:pos="4680"/>
        <w:tab w:val="right" w:pos="9360"/>
      </w:tabs>
      <w:spacing w:line="240" w:lineRule="auto"/>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6BB7"/>
  </w:style>
  <w:style w:type="paragraph" w:customStyle="1" w:styleId="Default">
    <w:name w:val="Default"/>
    <w:rsid w:val="006544B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4BC"/>
    <w:rPr>
      <w:color w:val="0000FF" w:themeColor="hyperlink"/>
      <w:u w:val="single"/>
    </w:rPr>
  </w:style>
  <w:style w:type="paragraph" w:styleId="Footer">
    <w:name w:val="footer"/>
    <w:basedOn w:val="Normal"/>
    <w:link w:val="FooterChar"/>
    <w:uiPriority w:val="99"/>
    <w:unhideWhenUsed/>
    <w:rsid w:val="00813AFA"/>
    <w:pPr>
      <w:tabs>
        <w:tab w:val="center" w:pos="4680"/>
        <w:tab w:val="right" w:pos="9360"/>
      </w:tabs>
      <w:spacing w:line="240" w:lineRule="auto"/>
    </w:pPr>
  </w:style>
  <w:style w:type="character" w:customStyle="1" w:styleId="FooterChar">
    <w:name w:val="Footer Char"/>
    <w:basedOn w:val="DefaultParagraphFont"/>
    <w:link w:val="Footer"/>
    <w:uiPriority w:val="99"/>
    <w:rsid w:val="00813AFA"/>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4473507">
      <w:bodyDiv w:val="1"/>
      <w:marLeft w:val="0"/>
      <w:marRight w:val="0"/>
      <w:marTop w:val="0"/>
      <w:marBottom w:val="0"/>
      <w:divBdr>
        <w:top w:val="none" w:sz="0" w:space="0" w:color="auto"/>
        <w:left w:val="none" w:sz="0" w:space="0" w:color="auto"/>
        <w:bottom w:val="none" w:sz="0" w:space="0" w:color="auto"/>
        <w:right w:val="none" w:sz="0" w:space="0" w:color="auto"/>
      </w:divBdr>
      <w:divsChild>
        <w:div w:id="2087219657">
          <w:marLeft w:val="0"/>
          <w:marRight w:val="0"/>
          <w:marTop w:val="0"/>
          <w:marBottom w:val="0"/>
          <w:divBdr>
            <w:top w:val="none" w:sz="0" w:space="0" w:color="auto"/>
            <w:left w:val="none" w:sz="0" w:space="0" w:color="auto"/>
            <w:bottom w:val="none" w:sz="0" w:space="0" w:color="auto"/>
            <w:right w:val="none" w:sz="0" w:space="0" w:color="auto"/>
          </w:divBdr>
        </w:div>
        <w:div w:id="1290162299">
          <w:marLeft w:val="0"/>
          <w:marRight w:val="0"/>
          <w:marTop w:val="0"/>
          <w:marBottom w:val="0"/>
          <w:divBdr>
            <w:top w:val="none" w:sz="0" w:space="0" w:color="auto"/>
            <w:left w:val="none" w:sz="0" w:space="0" w:color="auto"/>
            <w:bottom w:val="none" w:sz="0" w:space="0" w:color="auto"/>
            <w:right w:val="none" w:sz="0" w:space="0" w:color="auto"/>
          </w:divBdr>
        </w:div>
        <w:div w:id="530915886">
          <w:marLeft w:val="0"/>
          <w:marRight w:val="0"/>
          <w:marTop w:val="0"/>
          <w:marBottom w:val="0"/>
          <w:divBdr>
            <w:top w:val="none" w:sz="0" w:space="0" w:color="auto"/>
            <w:left w:val="none" w:sz="0" w:space="0" w:color="auto"/>
            <w:bottom w:val="none" w:sz="0" w:space="0" w:color="auto"/>
            <w:right w:val="none" w:sz="0" w:space="0" w:color="auto"/>
          </w:divBdr>
        </w:div>
        <w:div w:id="1569344903">
          <w:marLeft w:val="0"/>
          <w:marRight w:val="0"/>
          <w:marTop w:val="0"/>
          <w:marBottom w:val="0"/>
          <w:divBdr>
            <w:top w:val="none" w:sz="0" w:space="0" w:color="auto"/>
            <w:left w:val="none" w:sz="0" w:space="0" w:color="auto"/>
            <w:bottom w:val="none" w:sz="0" w:space="0" w:color="auto"/>
            <w:right w:val="none" w:sz="0" w:space="0" w:color="auto"/>
          </w:divBdr>
        </w:div>
        <w:div w:id="1346521131">
          <w:marLeft w:val="0"/>
          <w:marRight w:val="0"/>
          <w:marTop w:val="0"/>
          <w:marBottom w:val="0"/>
          <w:divBdr>
            <w:top w:val="none" w:sz="0" w:space="0" w:color="auto"/>
            <w:left w:val="none" w:sz="0" w:space="0" w:color="auto"/>
            <w:bottom w:val="none" w:sz="0" w:space="0" w:color="auto"/>
            <w:right w:val="none" w:sz="0" w:space="0" w:color="auto"/>
          </w:divBdr>
        </w:div>
        <w:div w:id="607273009">
          <w:marLeft w:val="0"/>
          <w:marRight w:val="0"/>
          <w:marTop w:val="0"/>
          <w:marBottom w:val="0"/>
          <w:divBdr>
            <w:top w:val="none" w:sz="0" w:space="0" w:color="auto"/>
            <w:left w:val="none" w:sz="0" w:space="0" w:color="auto"/>
            <w:bottom w:val="none" w:sz="0" w:space="0" w:color="auto"/>
            <w:right w:val="none" w:sz="0" w:space="0" w:color="auto"/>
          </w:divBdr>
        </w:div>
        <w:div w:id="616528153">
          <w:marLeft w:val="0"/>
          <w:marRight w:val="0"/>
          <w:marTop w:val="0"/>
          <w:marBottom w:val="0"/>
          <w:divBdr>
            <w:top w:val="none" w:sz="0" w:space="0" w:color="auto"/>
            <w:left w:val="none" w:sz="0" w:space="0" w:color="auto"/>
            <w:bottom w:val="none" w:sz="0" w:space="0" w:color="auto"/>
            <w:right w:val="none" w:sz="0" w:space="0" w:color="auto"/>
          </w:divBdr>
        </w:div>
        <w:div w:id="1737897710">
          <w:marLeft w:val="0"/>
          <w:marRight w:val="0"/>
          <w:marTop w:val="0"/>
          <w:marBottom w:val="0"/>
          <w:divBdr>
            <w:top w:val="none" w:sz="0" w:space="0" w:color="auto"/>
            <w:left w:val="none" w:sz="0" w:space="0" w:color="auto"/>
            <w:bottom w:val="none" w:sz="0" w:space="0" w:color="auto"/>
            <w:right w:val="none" w:sz="0" w:space="0" w:color="auto"/>
          </w:divBdr>
        </w:div>
        <w:div w:id="1386493333">
          <w:marLeft w:val="0"/>
          <w:marRight w:val="0"/>
          <w:marTop w:val="0"/>
          <w:marBottom w:val="0"/>
          <w:divBdr>
            <w:top w:val="none" w:sz="0" w:space="0" w:color="auto"/>
            <w:left w:val="none" w:sz="0" w:space="0" w:color="auto"/>
            <w:bottom w:val="none" w:sz="0" w:space="0" w:color="auto"/>
            <w:right w:val="none" w:sz="0" w:space="0" w:color="auto"/>
          </w:divBdr>
        </w:div>
        <w:div w:id="101379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ham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www.buletinbisnis.wordpres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2FD5-2385-4BBB-99FE-9FFF6283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3384</Words>
  <Characters>19293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user</cp:lastModifiedBy>
  <cp:revision>10</cp:revision>
  <cp:lastPrinted>2016-02-11T03:35:00Z</cp:lastPrinted>
  <dcterms:created xsi:type="dcterms:W3CDTF">2015-09-29T12:59:00Z</dcterms:created>
  <dcterms:modified xsi:type="dcterms:W3CDTF">2016-02-11T03:37:00Z</dcterms:modified>
</cp:coreProperties>
</file>